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ac70c7cfb64014" /></Relationships>
</file>

<file path=word/document.xml><?xml version="1.0" encoding="utf-8"?>
<w:document xmlns:w="http://schemas.openxmlformats.org/wordprocessingml/2006/main">
  <w:body>
    <w:p>
      <w:r>
        <w:t>S-1589.2</w:t>
      </w:r>
    </w:p>
    <w:p>
      <w:pPr>
        <w:jc w:val="center"/>
      </w:pPr>
      <w:r>
        <w:t>_______________________________________________</w:t>
      </w:r>
    </w:p>
    <w:p/>
    <w:p>
      <w:pPr>
        <w:jc w:val="center"/>
      </w:pPr>
      <w:r>
        <w:rPr>
          <w:b/>
        </w:rPr>
        <w:t>SUBSTITUTE SENATE BILL 5309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Liias, Dansel, McCoy, Pearson, Keiser, and Benton; by request of Public Disclosure Commission)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efficiency of public disclosure commission operations and requirements; amending RCW 42.17A.065, 42.17A.105, 42.17A.120, 42.17A.615, 42.17A.645, 42.17A.710, and 42.17A.420; and reenacting and amending RCW 42.17A.110.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2010 c 204 s 204 are each amended to read as follows:</w:t>
      </w:r>
    </w:p>
    <w:p>
      <w:pPr>
        <w:spacing w:before="0" w:after="0" w:line="408" w:lineRule="exact"/>
        <w:ind w:left="0" w:right="0" w:firstLine="576"/>
        <w:jc w:val="left"/>
      </w:pPr>
      <w:r>
        <w:t>((</w:t>
      </w:r>
      <w:r>
        <w:rPr>
          <w:strike/>
        </w:rPr>
        <w:t xml:space="preserve">By July 1st of each year,</w:t>
      </w:r>
      <w:r>
        <w:t>))</w:t>
      </w:r>
      <w:r>
        <w:rPr/>
        <w:t xml:space="preserve"> </w:t>
      </w:r>
      <w:r>
        <w:rPr>
          <w:u w:val="single"/>
        </w:rPr>
        <w:t xml:space="preserve">T</w:t>
      </w:r>
      <w:r>
        <w:rPr/>
        <w:t xml:space="preserve">he commission shall calculate the following performance measures</w:t>
      </w:r>
      <w:r>
        <w:t>((</w:t>
      </w:r>
      <w:r>
        <w:rPr>
          <w:strike/>
        </w:rPr>
        <w:t xml:space="preserve">, provide a copy of the performance measures to the governor and appropriate legislative committees</w:t>
      </w:r>
      <w:r>
        <w:t>))</w:t>
      </w:r>
      <w:r>
        <w:rPr/>
        <w:t xml:space="preserve"> </w:t>
      </w:r>
      <w:r>
        <w:rPr>
          <w:u w:val="single"/>
        </w:rPr>
        <w:t xml:space="preserve">at least annually</w:t>
      </w:r>
      <w:r>
        <w:rPr/>
        <w:t xml:space="preserve">, and make the </w:t>
      </w:r>
      <w:r>
        <w:t>((</w:t>
      </w:r>
      <w:r>
        <w:rPr>
          <w:strike/>
        </w:rPr>
        <w:t xml:space="preserve">performance measures</w:t>
      </w:r>
      <w:r>
        <w:t>))</w:t>
      </w:r>
      <w:r>
        <w:rPr/>
        <w:t xml:space="preserve"> </w:t>
      </w:r>
      <w:r>
        <w:rPr>
          <w:u w:val="single"/>
        </w:rPr>
        <w:t xml:space="preserve">results</w:t>
      </w:r>
      <w:r>
        <w:rPr/>
        <w:t xml:space="preserve"> available to the public </w:t>
      </w:r>
      <w:r>
        <w:rPr>
          <w:u w:val="single"/>
        </w:rPr>
        <w:t xml:space="preserve">on the commission's web site</w:t>
      </w:r>
      <w:r>
        <w:rPr/>
        <w:t xml:space="preserve">:</w:t>
      </w:r>
    </w:p>
    <w:p>
      <w:pPr>
        <w:spacing w:before="0" w:after="0" w:line="408" w:lineRule="exact"/>
        <w:ind w:left="0" w:right="0" w:firstLine="576"/>
        <w:jc w:val="left"/>
      </w:pPr>
      <w:r>
        <w:rPr/>
        <w:t xml:space="preserve">(1) The average number of days that elapse between the commission's receipt of reports filed under RCW 42.17A.205, 42.17A.225, 42.17A.235, and 42.17A.255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(2) The average number of days that elapse between the commission's receipt of reports filed under RCW 42.17A.265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(3) The average number of days that elapse between the commission's receipt of reports filed under RCW 42.17A.600, 42.17A.615, 42.17A.625, and 42.17A.630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(4) The percentage of candidates, categorized as statewide, legislative, or local, that have used each of the following methods to file reports under RCW 42.17A.235 or 42.17A.265: (a) Hard copy paper format; or (b) electronic format via the </w:t>
      </w:r>
      <w:r>
        <w:rPr>
          <w:u w:val="single"/>
        </w:rPr>
        <w:t xml:space="preserve">i</w:t>
      </w:r>
      <w:r>
        <w:rPr/>
        <w:t xml:space="preserve">nternet; </w:t>
      </w:r>
    </w:p>
    <w:p>
      <w:pPr>
        <w:spacing w:before="0" w:after="0" w:line="408" w:lineRule="exact"/>
        <w:ind w:left="0" w:right="0" w:firstLine="576"/>
        <w:jc w:val="left"/>
      </w:pPr>
      <w:r>
        <w:rPr/>
        <w:t xml:space="preserve">(5) The percentage of continuing political committees that have used each of the following methods to file reports under RCW 42.17A.225 or 42.17A.265: (a) Hard copy paper format; or (b) electronic format via the </w:t>
      </w:r>
      <w:r>
        <w:rPr>
          <w:u w:val="single"/>
        </w:rPr>
        <w:t xml:space="preserve">i</w:t>
      </w:r>
      <w:r>
        <w:rPr/>
        <w:t xml:space="preserve">nternet; and</w:t>
      </w:r>
    </w:p>
    <w:p>
      <w:pPr>
        <w:spacing w:before="0" w:after="0" w:line="408" w:lineRule="exact"/>
        <w:ind w:left="0" w:right="0" w:firstLine="576"/>
        <w:jc w:val="left"/>
      </w:pPr>
      <w:r>
        <w:rPr/>
        <w:t xml:space="preserve">(6) The percentage of lobbyists and lobbyists' employers that have used each of the following methods to file reports under RCW 42.17A.600, 42.17A.615, 42.17A.625, or 42.17A.630: (a) Hard copy paper format; or (b) electronic format via the </w:t>
      </w:r>
      <w:r>
        <w:rPr>
          <w:u w:val="single"/>
        </w:rPr>
        <w:t xml:space="preserve">i</w:t>
      </w:r>
      <w:r>
        <w:rPr/>
        <w:t xml:space="preserve">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Prepare and publish a manual setting forth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w:t>
      </w:r>
      <w:r>
        <w:t>((</w:t>
      </w:r>
      <w:r>
        <w:rPr>
          <w:strike/>
        </w:rPr>
        <w:t xml:space="preserve">Conduct a sufficient number of audits and field investigations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strike/>
        </w:rPr>
        <w:t xml:space="preserve">(7)</w:t>
      </w:r>
      <w:r>
        <w:t>))</w:t>
      </w:r>
      <w:r>
        <w:rPr/>
        <w:t xml:space="preserve"> Prepare and publish </w:t>
      </w:r>
      <w:r>
        <w:t>((</w:t>
      </w:r>
      <w:r>
        <w:rPr>
          <w:strike/>
        </w:rPr>
        <w:t xml:space="preserve">an annual</w:t>
      </w:r>
      <w:r>
        <w:t>))</w:t>
      </w:r>
      <w:r>
        <w:rPr/>
        <w:t xml:space="preserve"> </w:t>
      </w:r>
      <w:r>
        <w:rPr>
          <w:u w:val="single"/>
        </w:rPr>
        <w:t xml:space="preserve">periodic</w:t>
      </w:r>
      <w:r>
        <w:rPr/>
        <w:t xml:space="preserve"> report</w:t>
      </w:r>
      <w:r>
        <w:rPr>
          <w:u w:val="single"/>
        </w:rPr>
        <w:t xml:space="preserve">s</w:t>
      </w:r>
      <w:r>
        <w:rPr/>
        <w:t xml:space="preserve"> to the governor </w:t>
      </w:r>
      <w:r>
        <w:rPr>
          <w:u w:val="single"/>
        </w:rPr>
        <w:t xml:space="preserve">and the legislature</w:t>
      </w:r>
      <w:r>
        <w:rPr/>
        <w:t xml:space="preserve"> as to the effectiveness of this chapter and its enforcement by appropriate law enforcement authorities</w:t>
      </w:r>
      <w:r>
        <w:rPr>
          <w:u w:val="single"/>
        </w:rPr>
        <w:t xml:space="preserve">, which shall include the annual performance measurements required by RCW 42.17A.065</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Enforce this chapter according to the powers granted it by law;</w:t>
      </w:r>
    </w:p>
    <w:p>
      <w:pPr>
        <w:spacing w:before="0" w:after="0" w:line="408" w:lineRule="exact"/>
        <w:ind w:left="0" w:right="0" w:firstLine="576"/>
        <w:jc w:val="left"/>
      </w:pPr>
      <w:r>
        <w:t>((</w:t>
      </w:r>
      <w:r>
        <w:rPr>
          <w:strike/>
        </w:rPr>
        <w:t xml:space="preserve">(9) 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Adopt administrative rules establishing requirements for filer participation in any system designed and implemented by the commission for the electronic filing of reports; and</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Maintain and make available to the public and political committees of this state a toll-free telephone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42.17A.110 and 2011 1st sp.s. c 43 s 448 and 2011 c 60 s 20 are each reenacted and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whether an actual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w:t>
      </w:r>
      <w:r>
        <w:rPr>
          <w:u w:val="single"/>
        </w:rPr>
        <w:t xml:space="preserve">within available resources</w:t>
      </w:r>
      <w:r>
        <w:rPr/>
        <w:t xml:space="preserve">, audits and field investigations</w:t>
      </w:r>
      <w:r>
        <w:rPr>
          <w:u w:val="single"/>
        </w:rPr>
        <w:t xml:space="preserve">.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r>
        <w:rPr/>
        <w:t xml:space="preserve">;</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w:t>
      </w:r>
    </w:p>
    <w:p>
      <w:pPr>
        <w:spacing w:before="0" w:after="0" w:line="408" w:lineRule="exact"/>
        <w:ind w:left="0" w:right="0" w:firstLine="576"/>
        <w:jc w:val="left"/>
      </w:pPr>
      <w:r>
        <w:rPr/>
        <w:t xml:space="preserve">(9) 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t xml:space="preserve">(10) Develop and provide to filers a system for </w:t>
      </w:r>
      <w:r>
        <w:t>((</w:t>
      </w:r>
      <w:r>
        <w:rPr>
          <w:strike/>
        </w:rPr>
        <w:t xml:space="preserve">certification of</w:t>
      </w:r>
      <w:r>
        <w:t>))</w:t>
      </w:r>
      <w:r>
        <w:rPr/>
        <w:t xml:space="preserve"> </w:t>
      </w:r>
      <w:r>
        <w:rPr>
          <w:u w:val="single"/>
        </w:rPr>
        <w:t xml:space="preserve">certifying, without a signature,</w:t>
      </w:r>
      <w:r>
        <w:rPr/>
        <w:t xml:space="preserve">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only after a hearing is held and the suspension or modification receives approval from a majority of the commission. </w:t>
      </w:r>
      <w:r>
        <w:rPr>
          <w:u w:val="single"/>
        </w:rPr>
        <w:t xml:space="preserve">A suspension or modification of the financial affairs reporting requirements contained in RCW 42.17A.710 may be approved for an elected official's term of office, or for up to three years for an executive state officer, where no material change in the applicant's circumstances is anticipated.</w:t>
      </w:r>
      <w:r>
        <w:rPr/>
        <w:t xml:space="preserve"> The commission shall act to suspend or modify any reporting requirements:</w:t>
      </w:r>
    </w:p>
    <w:p>
      <w:pPr>
        <w:spacing w:before="0" w:after="0" w:line="408" w:lineRule="exact"/>
        <w:ind w:left="0" w:right="0" w:firstLine="576"/>
        <w:jc w:val="left"/>
      </w:pPr>
      <w:r>
        <w:rPr/>
        <w:t xml:space="preserve">(a) Only if it determines that facts exist that are clear and convincing proof of the findings required under this section; and</w:t>
      </w:r>
    </w:p>
    <w:p>
      <w:pPr>
        <w:spacing w:before="0" w:after="0" w:line="408" w:lineRule="exact"/>
        <w:ind w:left="0" w:right="0" w:firstLine="576"/>
        <w:jc w:val="left"/>
      </w:pPr>
      <w:r>
        <w:rPr/>
        <w:t xml:space="preserve">(b) Only to the extent necessary to substantially relieve the hardship.</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his or her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renewals of reporting modifications may be heard in a brief adjudicative proceeding as set forth in RCW 34.05.482 through 34.05.494 and in accordance with the standards established in this section. 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p>
    <w:p>
      <w:pPr>
        <w:spacing w:before="0" w:after="0" w:line="408" w:lineRule="exact"/>
        <w:ind w:left="0" w:right="0" w:firstLine="576"/>
        <w:jc w:val="left"/>
      </w:pPr>
      <w:r>
        <w:rPr/>
        <w:t xml:space="preserve">(4)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rPr/>
        <w:t xml:space="preserve">(5)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with the commission monthly reports of his or her lobbying activities. The reports shall be made in the form and manner prescribed by the commission and must be </w:t>
      </w:r>
      <w:r>
        <w:t>((</w:t>
      </w:r>
      <w:r>
        <w:rPr>
          <w:strike/>
        </w:rPr>
        <w:t xml:space="preserve">signed</w:t>
      </w:r>
      <w:r>
        <w:t>))</w:t>
      </w:r>
      <w:r>
        <w:rPr/>
        <w:t xml:space="preserve"> </w:t>
      </w:r>
      <w:r>
        <w:rPr>
          <w:u w:val="single"/>
        </w:rPr>
        <w:t xml:space="preserve">certified</w:t>
      </w:r>
      <w:r>
        <w:rPr/>
        <w:t xml:space="preserve">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t xml:space="preserve"> </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his or her own living accommodations;</w:t>
      </w:r>
    </w:p>
    <w:p>
      <w:pPr>
        <w:spacing w:before="0" w:after="0" w:line="408" w:lineRule="exact"/>
        <w:ind w:left="0" w:right="0" w:firstLine="576"/>
        <w:jc w:val="left"/>
      </w:pPr>
      <w:r>
        <w:rPr/>
        <w:t xml:space="preserve">(c) Any expenses incurred for his or her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645</w:t>
      </w:r>
      <w:r>
        <w:rPr/>
        <w:t xml:space="preserve"> and 2010 c 204 s 810 are each amended to read as follows:</w:t>
      </w:r>
    </w:p>
    <w:p>
      <w:pPr>
        <w:spacing w:before="0" w:after="0" w:line="408" w:lineRule="exact"/>
        <w:ind w:left="0" w:right="0" w:firstLine="576"/>
        <w:jc w:val="left"/>
      </w:pPr>
      <w:r>
        <w:rPr/>
        <w:t xml:space="preserve">If any person registered or required to be registered as a lobbyist, or any employer of any person registered or required to be registered as a lobbyist, employs a member or an employee of the legislature, a member of a state board or commission, or a full-time state employee, and that new employee remains in the partial employ of the state, the new employer must file within fifteen days after employment a </w:t>
      </w:r>
      <w:r>
        <w:rPr>
          <w:u w:val="single"/>
        </w:rPr>
        <w:t xml:space="preserve">certified</w:t>
      </w:r>
      <w:r>
        <w:rPr/>
        <w:t xml:space="preserve"> statement with the commission</w:t>
      </w:r>
      <w:r>
        <w:t>((</w:t>
      </w:r>
      <w:r>
        <w:rPr>
          <w:strike/>
        </w:rPr>
        <w:t xml:space="preserve">, signed under oath,</w:t>
      </w:r>
      <w:r>
        <w:t>))</w:t>
      </w:r>
      <w:r>
        <w:rPr/>
        <w:t xml:space="preserve"> setting out the nature of the employment, the name of the person employed, and the amount of pay or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his or her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w:t>
      </w:r>
      <w:r>
        <w:rPr>
          <w:u w:val="single"/>
        </w:rPr>
        <w:t xml:space="preserve">(i)</w:t>
      </w:r>
      <w:r>
        <w:rPr/>
        <w:t xml:space="preserve"> Each bank account, savings account, and insurance policy in which a direct financial interest was held that exceeds </w:t>
      </w:r>
      <w:r>
        <w:t>((</w:t>
      </w:r>
      <w:r>
        <w:rPr>
          <w:strike/>
        </w:rPr>
        <w:t xml:space="preserve">twenty</w:t>
      </w:r>
      <w:r>
        <w:t>))</w:t>
      </w:r>
      <w:r>
        <w:rPr/>
        <w:t xml:space="preserve"> </w:t>
      </w:r>
      <w:r>
        <w:rPr>
          <w:u w:val="single"/>
        </w:rPr>
        <w:t xml:space="preserve">twenty-four</w:t>
      </w:r>
      <w:r>
        <w:rPr/>
        <w:t xml:space="preserve"> thousand dollars at any time during the reporting period </w:t>
      </w:r>
      <w:r>
        <w:rPr>
          <w:u w:val="single"/>
        </w:rPr>
        <w:t xml:space="preserve">and its highest value during the reporting period</w:t>
      </w:r>
      <w:r>
        <w:rPr/>
        <w:t xml:space="preserve">; </w:t>
      </w:r>
      <w:r>
        <w:rPr>
          <w:u w:val="single"/>
        </w:rPr>
        <w:t xml:space="preserve">and</w:t>
      </w:r>
    </w:p>
    <w:p>
      <w:pPr>
        <w:spacing w:before="0" w:after="0" w:line="408" w:lineRule="exact"/>
        <w:ind w:left="0" w:right="0" w:firstLine="576"/>
        <w:jc w:val="left"/>
      </w:pPr>
      <w:r>
        <w:rPr>
          <w:u w:val="single"/>
        </w:rPr>
        <w:t xml:space="preserve">(ii) E</w:t>
      </w:r>
      <w:r>
        <w:rPr/>
        <w:t xml:space="preserve">ach other item of intangible personal property in which a direct financial interest was held that exceeds </w:t>
      </w:r>
      <w:r>
        <w:t>((</w:t>
      </w:r>
      <w:r>
        <w:rPr>
          <w:strike/>
        </w:rPr>
        <w:t xml:space="preserve">two</w:t>
      </w:r>
      <w:r>
        <w:t>))</w:t>
      </w:r>
      <w:r>
        <w:rPr/>
        <w:t xml:space="preserve"> </w:t>
      </w:r>
      <w:r>
        <w:rPr>
          <w:u w:val="single"/>
        </w:rPr>
        <w:t xml:space="preserve">five</w:t>
      </w:r>
      <w:r>
        <w:rPr/>
        <w:t xml:space="preserve"> thousand dollars during the reporting period</w:t>
      </w:r>
      <w:r>
        <w:t>((</w:t>
      </w:r>
      <w:r>
        <w:rPr>
          <w:strike/>
        </w:rPr>
        <w:t xml:space="preserve">; the name, address, and nature of the entity; and the nature and highest value of each direct financial interest during the reporting period</w:t>
      </w:r>
      <w:r>
        <w:t>))</w:t>
      </w:r>
      <w:r>
        <w:rPr>
          <w:u w:val="single"/>
        </w:rPr>
        <w:t xml:space="preserve">. For each reportable interest under this subsection (1)(b)(ii), the disclosure must include the name and nature of the direct financial interest and its value. For purposes of reporting the value of any reportable direct financial interest held on December 31st of the reporting period, the year-end value may be used. When reporting the value of any reportable direct financial interest not held on December 31st of the reporting period, the highest value during the reporting period must be used. Ownership of shares of multiple mutual funds within the same mutual fund family may be disclosed by reporting the mutual fund family name</w:t>
      </w:r>
      <w:r>
        <w:rPr/>
        <w:t xml:space="preserve">;</w:t>
      </w:r>
    </w:p>
    <w:p>
      <w:pPr>
        <w:spacing w:before="0" w:after="0" w:line="408" w:lineRule="exact"/>
        <w:ind w:left="0" w:right="0" w:firstLine="576"/>
        <w:jc w:val="left"/>
      </w:pPr>
      <w:r>
        <w:rPr/>
        <w:t xml:space="preserve">(c) The name and address of each creditor to whom the value of two thousand </w:t>
      </w:r>
      <w:r>
        <w:rPr>
          <w:u w:val="single"/>
        </w:rPr>
        <w:t xml:space="preserve">four hundred</w:t>
      </w:r>
      <w:r>
        <w:rPr/>
        <w:t xml:space="preserve">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 </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his or her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w:t>
      </w:r>
      <w:r>
        <w:rPr>
          <w:u w:val="single"/>
        </w:rPr>
        <w:t xml:space="preserve">four hundred</w:t>
      </w:r>
      <w:r>
        <w:rPr/>
        <w:t xml:space="preserve">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w:t>
      </w:r>
      <w:r>
        <w:t>((</w:t>
      </w:r>
      <w:r>
        <w:rPr>
          <w:strike/>
        </w:rPr>
        <w:t xml:space="preserve">ten</w:t>
      </w:r>
      <w:r>
        <w:t>))</w:t>
      </w:r>
      <w:r>
        <w:rPr/>
        <w:t xml:space="preserve"> </w:t>
      </w:r>
      <w:r>
        <w:rPr>
          <w:u w:val="single"/>
        </w:rPr>
        <w:t xml:space="preserve">twelve</w:t>
      </w:r>
      <w:r>
        <w:rPr/>
        <w:t xml:space="preserve">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w:t>
      </w:r>
      <w:r>
        <w:t>((</w:t>
      </w:r>
      <w:r>
        <w:rPr>
          <w:strike/>
        </w:rPr>
        <w:t xml:space="preserve">four</w:t>
      </w:r>
      <w:r>
        <w:t>))</w:t>
      </w:r>
      <w:r>
        <w:rPr/>
        <w:t xml:space="preserve"> </w:t>
      </w:r>
      <w:r>
        <w:rPr>
          <w:u w:val="single"/>
        </w:rPr>
        <w:t xml:space="preserve">nine</w:t>
      </w:r>
      <w:r>
        <w:rPr/>
        <w:t xml:space="preserve">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w:t>
      </w:r>
      <w:r>
        <w:t>((</w:t>
      </w:r>
      <w:r>
        <w:rPr>
          <w:strike/>
        </w:rPr>
        <w:t xml:space="preserve">twenty</w:t>
      </w:r>
      <w:r>
        <w:t>))</w:t>
      </w:r>
      <w:r>
        <w:rPr/>
        <w:t xml:space="preserve"> </w:t>
      </w:r>
      <w:r>
        <w:rPr>
          <w:u w:val="single"/>
        </w:rPr>
        <w:t xml:space="preserve">twenty-four</w:t>
      </w:r>
      <w:r>
        <w:rPr/>
        <w:t xml:space="preserve">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w:t>
      </w:r>
      <w:r>
        <w:rPr>
          <w:u w:val="single"/>
        </w:rPr>
        <w:t xml:space="preserve">(a)</w:t>
      </w:r>
      <w:r>
        <w:rPr/>
        <w:t xml:space="preserve"> Where an amount is required to be reported under subsection (1)(a) through (m) of this section, it </w:t>
      </w:r>
      <w:r>
        <w:t>((</w:t>
      </w:r>
      <w:r>
        <w:rPr>
          <w:strike/>
        </w:rPr>
        <w:t xml:space="preserve">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w:t>
      </w:r>
      <w:r>
        <w:t>))</w:t>
      </w:r>
      <w:r>
        <w:rPr/>
        <w:t xml:space="preserve"> </w:t>
      </w:r>
      <w:r>
        <w:rPr>
          <w:u w:val="single"/>
        </w:rPr>
        <w:t xml:space="preserve">may be reported as provided in (b) of this subsection</w:t>
      </w:r>
      <w:r>
        <w:rPr/>
        <w:t xml:space="preserve">.</w:t>
      </w:r>
    </w:p>
    <w:p>
      <w:pPr>
        <w:spacing w:before="0" w:after="0" w:line="408" w:lineRule="exact"/>
        <w:ind w:left="0" w:right="0" w:firstLine="576"/>
        <w:jc w:val="left"/>
      </w:pPr>
      <w:r>
        <w:rPr>
          <w:u w:val="single"/>
        </w:rPr>
        <w:t xml:space="preserve">(b)</w:t>
      </w:r>
    </w:p>
    <w:tbl>
      <w:tblPr>
        <w:tblW w:w="0" w:type="auto"/>
        <w:jc w:val="center"/>
        <w:tcMar>
          <w:tblCellMar>
            <w:top w:w="0" w:type="dxa"/>
          </w:tblCellMar>
        </w:tcMar>
        <w:tcMar>
          <w:tblCellMar>
            <w:left w:w="70" w:type="dxa"/>
            <w:right w:w="70" w:type="dxa"/>
          </w:tblCellMar>
        </w:tcMar>
      </w:tblPr>
      <w:tblGrid>
        <w:gridCol w:w="945"/>
        <w:gridCol w:w="3915"/>
      </w:tblGrid>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A</w:t>
            </w:r>
          </w:p>
        </w:tc>
        <w:tc>
          <w:tcPr>
            <w:tcW w:w="391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Less than $30,000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B</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$30,000 but less than $60,000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C</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$60,000 but less than $100,000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D</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$100,000 but less than $200,000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E</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$200,000 but less than $500,000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F</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$500,000 but less than $750,000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G</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$750,000 but less than $1,000,000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H</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$1,000,000 or more</w:t>
            </w:r>
          </w:p>
        </w:tc>
      </w:tr>
    </w:tbl>
    <w:p>
      <w:pPr>
        <w:spacing w:before="120" w:after="0" w:line="408" w:lineRule="exact"/>
        <w:ind w:left="0" w:right="0" w:firstLine="576"/>
        <w:jc w:val="left"/>
      </w:pPr>
      <w:r>
        <w:rPr>
          <w:u w:val="single"/>
        </w:rPr>
        <w:t xml:space="preserve">(c)</w:t>
      </w:r>
      <w:r>
        <w:rPr/>
        <w:t xml:space="preserve"> An amount of stock may be reported by number of shares instead of by market value.</w:t>
      </w:r>
    </w:p>
    <w:p>
      <w:pPr>
        <w:spacing w:before="0" w:after="0" w:line="408" w:lineRule="exact"/>
        <w:ind w:left="0" w:right="0" w:firstLine="576"/>
        <w:jc w:val="left"/>
      </w:pPr>
      <w:r>
        <w:rPr>
          <w:u w:val="single"/>
        </w:rPr>
        <w:t xml:space="preserve">(d)</w:t>
      </w:r>
      <w:r>
        <w:rPr/>
        <w:t xml:space="preserve"> No provision of this subsection </w:t>
      </w:r>
      <w:r>
        <w:rPr>
          <w:u w:val="single"/>
        </w:rPr>
        <w:t xml:space="preserve">(2)</w:t>
      </w:r>
      <w:r>
        <w:rPr/>
        <w:t xml:space="preserve"> may be interpreted to prevent any person from filing more information or more detailed information than required.</w:t>
      </w:r>
    </w:p>
    <w:p>
      <w:pPr>
        <w:spacing w:before="0" w:after="0" w:line="408" w:lineRule="exact"/>
        <w:ind w:left="0" w:right="0" w:firstLine="576"/>
        <w:jc w:val="left"/>
      </w:pPr>
      <w:r>
        <w:rPr/>
        <w:t xml:space="preserve">(3)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2010 c 204 s 604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w:t>
      </w:r>
      <w:r>
        <w:t>((</w:t>
      </w:r>
      <w:r>
        <w:rPr>
          <w:strike/>
        </w:rPr>
        <w:t xml:space="preserve">campaign</w:t>
      </w:r>
      <w:r>
        <w:t>))</w:t>
      </w:r>
      <w:r>
        <w:rPr/>
        <w:t xml:space="preserve"> </w:t>
      </w:r>
      <w:r>
        <w:rPr>
          <w:u w:val="single"/>
        </w:rPr>
        <w:t xml:space="preserve">office</w:t>
      </w:r>
      <w:r>
        <w:rPr/>
        <w:t xml:space="preserve"> subject to the provisions of this chapter within twenty-one days of a general election. This subsection does not apply to contributions made by, or accepted from, a bona fide political party as defined in this chapter, excluding the county central committee or legislative district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
      <w:pPr>
        <w:jc w:val="center"/>
      </w:pPr>
      <w:r>
        <w:rPr>
          <w:b/>
        </w:rPr>
        <w:t>--- END ---</w:t>
      </w:r>
    </w:p>
    <w:sectPr>
      <w:pgNumType w:start="1"/>
      <w:footerReference xmlns:r="http://schemas.openxmlformats.org/officeDocument/2006/relationships" r:id="Rd4a90b0646504b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6bdf71b6f44bd6" /><Relationship Type="http://schemas.openxmlformats.org/officeDocument/2006/relationships/footer" Target="/word/footer.xml" Id="Rd4a90b0646504b8a" /></Relationships>
</file>