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2e1da228604ae2" /></Relationships>
</file>

<file path=word/document.xml><?xml version="1.0" encoding="utf-8"?>
<w:document xmlns:w="http://schemas.openxmlformats.org/wordprocessingml/2006/main">
  <w:body>
    <w:p>
      <w:r>
        <w:t>S-0805.1</w:t>
      </w:r>
    </w:p>
    <w:p>
      <w:pPr>
        <w:jc w:val="center"/>
      </w:pPr>
      <w:r>
        <w:t>_______________________________________________</w:t>
      </w:r>
    </w:p>
    <w:p/>
    <w:p>
      <w:pPr>
        <w:jc w:val="center"/>
      </w:pPr>
      <w:r>
        <w:rPr>
          <w:b/>
        </w:rPr>
        <w:t>SENATE BILL 5482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Liias</w:t>
      </w:r>
    </w:p>
    <w:p/>
    <w:p>
      <w:r>
        <w:rPr>
          <w:t xml:space="preserve">Read first time 01/22/15.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global positioning system data by law enforcement officers; and reenacting and amending RCW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spacing w:before="0" w:after="0" w:line="408" w:lineRule="exact"/>
        <w:ind w:left="0" w:right="0" w:firstLine="576"/>
        <w:jc w:val="left"/>
      </w:pPr>
      <w:r>
        <w:rPr>
          <w:u w:val="single"/>
        </w:rPr>
        <w:t xml:space="preserve">(13) The global positioning system data that would indicate the location of the residence of an employee or worker of a criminal justice agency as defined in RCW 10.97.030</w:t>
      </w:r>
      <w:r>
        <w:rPr/>
        <w:t xml:space="preserve">.</w:t>
      </w:r>
    </w:p>
    <w:p/>
    <w:p>
      <w:pPr>
        <w:jc w:val="center"/>
      </w:pPr>
      <w:r>
        <w:rPr>
          <w:b/>
        </w:rPr>
        <w:t>--- END ---</w:t>
      </w:r>
    </w:p>
    <w:sectPr>
      <w:pgNumType w:start="1"/>
      <w:footerReference xmlns:r="http://schemas.openxmlformats.org/officeDocument/2006/relationships" r:id="Rc98febebe9384c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49b09f9d54f93" /><Relationship Type="http://schemas.openxmlformats.org/officeDocument/2006/relationships/footer" Target="/word/footer.xml" Id="Rc98febebe9384c1b" /></Relationships>
</file>