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18b7ab22974f32" /></Relationships>
</file>

<file path=word/document.xml><?xml version="1.0" encoding="utf-8"?>
<w:document xmlns:w="http://schemas.openxmlformats.org/wordprocessingml/2006/main">
  <w:body>
    <w:p>
      <w:r>
        <w:t>Z-0448.2</w:t>
      </w:r>
    </w:p>
    <w:p>
      <w:pPr>
        <w:jc w:val="center"/>
      </w:pPr>
      <w:r>
        <w:t>_______________________________________________</w:t>
      </w:r>
    </w:p>
    <w:p/>
    <w:p>
      <w:pPr>
        <w:jc w:val="center"/>
      </w:pPr>
      <w:r>
        <w:rPr>
          <w:b/>
        </w:rPr>
        <w:t>SENATE BILL 5699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Nelson, Darneille, Hasegawa, Keiser, Conway, and McAuliffe; by request of Office of Financial Management</w:t>
      </w:r>
    </w:p>
    <w:p/>
    <w:p>
      <w:r>
        <w:rPr>
          <w:t xml:space="preserve">Read first time 01/29/15.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an excise tax on capital gains to improve the fairness of Washington's tax system and provide funding for the education legacy trust account; adding a new section to chapter 82.04 RCW; adding a new chapter to Title 82 RCW; creating a new section;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section 1221 of the internal revenue code and also includes any other property if the sale or exchange of the property results in a gain that is treated as a long-term capital gain under section 1231 or any other provision of the internal revenue code.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 tax is imposed on all individuals for the privilege of selling or exchanging long-term capital assets, or of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a beneficial owner at the time of the sale or exchange.</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(1)(a) A principal residence if the gain is excluded from tax under section 121 of the internal revenue code;</w:t>
      </w:r>
    </w:p>
    <w:p>
      <w:pPr>
        <w:spacing w:before="0" w:after="0" w:line="408" w:lineRule="exact"/>
        <w:ind w:left="0" w:right="0" w:firstLine="576"/>
        <w:jc w:val="left"/>
      </w:pPr>
      <w:r>
        <w:rPr/>
        <w:t xml:space="preserve">(b) A principal residence by state registered domestic partners or spouses of the same sex, if the gain would be otherwise excluded from tax under section 121 of the internal revenue code; or</w:t>
      </w:r>
    </w:p>
    <w:p>
      <w:pPr>
        <w:spacing w:before="0" w:after="0" w:line="408" w:lineRule="exact"/>
        <w:ind w:left="0" w:right="0" w:firstLine="576"/>
        <w:jc w:val="left"/>
      </w:pPr>
      <w:r>
        <w:rPr/>
        <w:t xml:space="preserve">(c) A principal residence if it has been used by the taxpayer as the taxpayer's principal residence for periods aggregating at least ten years and owned by the taxpayer for at least a twenty-year period ending on the date of the sale or exchange of the property;</w:t>
      </w:r>
    </w:p>
    <w:p>
      <w:pPr>
        <w:spacing w:before="0" w:after="0" w:line="408" w:lineRule="exact"/>
        <w:ind w:left="0" w:right="0" w:firstLine="576"/>
        <w:jc w:val="left"/>
      </w:pPr>
      <w:r>
        <w:rPr/>
        <w:t xml:space="preserve">(2) Assets held under a retirement savings account under section 401(k) of the internal revenue code, a tax-sheltered annuity or a custodial account described in section 403(b) of the internal revenue code, a deferred compensation plan under section 457(b) of the internal revenue code, an individual retirement account or an individual retirement annuity described in section 408 of the internal revenue code, a Roth individual retirement account described in section 408A of the internal revenue code, an employee defined contribution program, an employee defined benefit plan, or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section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the trade or business of the taxpayer if the property qualifies for an income tax deduction under sections 167 or 179 of the internal revenue code; and</w:t>
      </w:r>
    </w:p>
    <w:p>
      <w:pPr>
        <w:spacing w:before="0" w:after="0" w:line="408" w:lineRule="exact"/>
        <w:ind w:left="0" w:right="0" w:firstLine="576"/>
        <w:jc w:val="left"/>
      </w:pPr>
      <w:r>
        <w:rPr/>
        <w:t xml:space="preserve">(7) Timber for which the taxpayer makes an election under section 631 (a) or (b) of the internal revenue code to treat the cutting of such timber as a sale or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chapters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from the sale or exchange of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Each taxpayer required to file a return under this section must, without assessment, notice, or demand, pay any tax due thereon to the department on or before the date fixed for the filing of the return, not including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(3)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(4)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and spouses of the same sex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sections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82.32.380, 82.32.410,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See RCW 82.32.805 for the expiration date of new tax preferences for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apply only with respect to new tax preferences, as defined in RCW 82.32.805, enacted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collected under this chapter must be deposited in the education legacy trust account created in RCW 83.100.230.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BUSINESS AND OCCUPATION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deduction is allowed against a person's gross income of the business to the extent necessary to avoid taxing the same amounts under this chapter and section 102 of this act.</w:t>
      </w:r>
    </w:p>
    <w:p>
      <w:pPr>
        <w:spacing w:before="0" w:after="0" w:line="408" w:lineRule="exact"/>
        <w:ind w:left="0" w:right="0" w:firstLine="576"/>
        <w:jc w:val="left"/>
      </w:pPr>
      <w:r>
        <w:rPr/>
        <w:t xml:space="preserve">(2) This section is not subject to RCW 82.32.805 and 82.32.808(1) through (5).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101 through 113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act, being necessary for the welfare of the state and its inhabitants, must be liberally construed in support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5608498cc944a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6a3e8494a4b17" /><Relationship Type="http://schemas.openxmlformats.org/officeDocument/2006/relationships/footer" Target="/word/footer.xml" Id="R05608498cc944a56" /></Relationships>
</file>