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2cee0063e547ce" /></Relationships>
</file>

<file path=word/document.xml><?xml version="1.0" encoding="utf-8"?>
<w:document xmlns:w="http://schemas.openxmlformats.org/wordprocessingml/2006/main">
  <w:body>
    <w:p>
      <w:r>
        <w:t>S-0947.1</w:t>
      </w:r>
    </w:p>
    <w:p>
      <w:pPr>
        <w:jc w:val="center"/>
      </w:pPr>
      <w:r>
        <w:t>_______________________________________________</w:t>
      </w:r>
    </w:p>
    <w:p/>
    <w:p>
      <w:pPr>
        <w:jc w:val="center"/>
      </w:pPr>
      <w:r>
        <w:rPr>
          <w:b/>
        </w:rPr>
        <w:t>SENATE BILL 5706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Becker, Sheldon, Bailey, Baumgartner, Brown, Pearson, Warnick, and Padden</w:t>
      </w:r>
    </w:p>
    <w:p/>
    <w:p>
      <w:r>
        <w:rPr>
          <w:t xml:space="preserve">Read first time 01/29/15.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property tax exemption for certain nonprofit fair associations; amending RCW 84.36.480;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correct the unintended consequence resulting from a city or county transferring ownership of a previously tax exempt fairground to a nonprofit fair association, which causes the fairground property to be subject to property tax.</w:t>
      </w:r>
    </w:p>
    <w:p>
      <w:pPr>
        <w:spacing w:before="0" w:after="0" w:line="408" w:lineRule="exact"/>
        <w:ind w:left="0" w:right="0" w:firstLine="576"/>
        <w:jc w:val="left"/>
      </w:pPr>
      <w:r>
        <w:rPr/>
        <w:t xml:space="preserve">(2) It is the legislature's specific public policy objective to provide a property tax exemption to fairground properties that were previously exempt from the property tax when a city or county transfers ownership of the property to a nonprofit fair association.</w:t>
      </w:r>
    </w:p>
    <w:p>
      <w:pPr>
        <w:spacing w:before="0" w:after="0" w:line="408" w:lineRule="exact"/>
        <w:ind w:left="0" w:right="0" w:firstLine="576"/>
        <w:jc w:val="left"/>
      </w:pPr>
      <w:r>
        <w:rPr/>
        <w:t xml:space="preserve">(3) If a review finds that the property tax exemption that is extended is being used and does not provide a competitive advantage for a nonprofit fair association over private business,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department of revenue and local county assessor data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spacing w:before="0" w:after="0" w:line="408" w:lineRule="exact"/>
        <w:ind w:left="0" w:right="0" w:firstLine="576"/>
        <w:jc w:val="left"/>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shall not nullify the exemption if the concession charges are subject to agreement and the rental income, if any, is reasonable and is devoted solely to the operation and maintenance of the property.</w:t>
      </w:r>
    </w:p>
    <w:p>
      <w:pPr>
        <w:spacing w:before="0" w:after="0" w:line="408" w:lineRule="exact"/>
        <w:ind w:left="0" w:right="0" w:firstLine="576"/>
        <w:jc w:val="left"/>
      </w:pPr>
      <w:r>
        <w:rPr/>
        <w:t xml:space="preserve">(2)(a) Except as provided otherwise in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spacing w:before="0" w:after="0" w:line="408" w:lineRule="exact"/>
        <w:ind w:left="0" w:right="0" w:firstLine="576"/>
        <w:jc w:val="left"/>
      </w:pPr>
      <w:r>
        <w:rPr/>
        <w:t xml:space="preserve">(b) The exemption under this subsection (2) may not be claimed for taxes levied for collection in </w:t>
      </w:r>
      <w:r>
        <w:t>((</w:t>
      </w:r>
      <w:r>
        <w:rPr>
          <w:strike/>
        </w:rPr>
        <w:t xml:space="preserve">2019</w:t>
      </w:r>
      <w:r>
        <w:t>))</w:t>
      </w:r>
      <w:r>
        <w:rPr>
          <w:u w:val="single"/>
        </w:rPr>
        <w:t xml:space="preserve">2024</w:t>
      </w:r>
      <w:r>
        <w:rPr/>
        <w:t xml:space="preserve"> and thereafter.</w:t>
      </w:r>
    </w:p>
    <w:p>
      <w:pPr>
        <w:spacing w:before="0" w:after="0" w:line="408" w:lineRule="exact"/>
        <w:ind w:left="0" w:right="0" w:firstLine="576"/>
        <w:jc w:val="left"/>
      </w:pPr>
      <w:r>
        <w:rPr/>
        <w:t xml:space="preserve">(3) A nonprofit fair association with real and personal property having an assessed value of more than fifteen million dollars is not eligible for the exemptions under this section.</w:t>
      </w:r>
    </w:p>
    <w:p/>
    <w:p>
      <w:pPr>
        <w:jc w:val="center"/>
      </w:pPr>
      <w:r>
        <w:rPr>
          <w:b/>
        </w:rPr>
        <w:t>--- END ---</w:t>
      </w:r>
    </w:p>
    <w:sectPr>
      <w:pgNumType w:start="1"/>
      <w:footerReference xmlns:r="http://schemas.openxmlformats.org/officeDocument/2006/relationships" r:id="Re8801a4af19b41a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29941481304124" /><Relationship Type="http://schemas.openxmlformats.org/officeDocument/2006/relationships/footer" Target="/word/footer.xml" Id="Re8801a4af19b41a6" /></Relationships>
</file>