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ff43fd2534ae4" /></Relationships>
</file>

<file path=word/document.xml><?xml version="1.0" encoding="utf-8"?>
<w:document xmlns:w="http://schemas.openxmlformats.org/wordprocessingml/2006/main">
  <w:body>
    <w:p>
      <w:r>
        <w:t>S-1185.1</w:t>
      </w:r>
    </w:p>
    <w:p>
      <w:pPr>
        <w:jc w:val="center"/>
      </w:pPr>
      <w:r>
        <w:t>_______________________________________________</w:t>
      </w:r>
    </w:p>
    <w:p/>
    <w:p>
      <w:pPr>
        <w:jc w:val="center"/>
      </w:pPr>
      <w:r>
        <w:rPr>
          <w:b/>
        </w:rPr>
        <w:t>SENATE BILL 5721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Dammeier, and Jayapal</w:t>
      </w:r>
    </w:p>
    <w:p/>
    <w:p>
      <w:r>
        <w:rPr>
          <w:t xml:space="preserve">Read first time 01/30/15.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expanded learning opportunities council; amending RCW 28A.630.123;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2014 c 219 s 3 are each amended to read as follows:</w:t>
      </w:r>
    </w:p>
    <w:p>
      <w:pPr>
        <w:spacing w:before="0" w:after="0" w:line="408" w:lineRule="exact"/>
        <w:ind w:left="0" w:right="0" w:firstLine="576"/>
        <w:jc w:val="left"/>
      </w:pPr>
      <w:r>
        <w:rPr/>
        <w:t xml:space="preserve">(1) The expanded learning opportunities council is established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council shall identify fiscal, resource, and partnership opportunities; coordinate policy development; set quality standards; promote evidence-based strategies; and develop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p>
    <w:p>
      <w:pPr>
        <w:spacing w:before="0" w:after="0" w:line="408" w:lineRule="exact"/>
        <w:ind w:left="0" w:right="0" w:firstLine="576"/>
        <w:jc w:val="left"/>
      </w:pPr>
      <w:r>
        <w:rPr/>
        <w:t xml:space="preserve">(4) When making recommendations regarding evidence-based strategies, the council shall consider the best practices on the state menus developed in accordance with RCW 28A.165.035 and 28A.655.235.</w:t>
      </w:r>
    </w:p>
    <w:p>
      <w:pPr>
        <w:spacing w:before="0" w:after="0" w:line="408" w:lineRule="exact"/>
        <w:ind w:left="0" w:right="0" w:firstLine="576"/>
        <w:jc w:val="left"/>
      </w:pPr>
      <w:r>
        <w:rPr/>
        <w:t xml:space="preserve">(5) The superintendent of public instruction shall convene the expanded learning opportunities council. The members of the council must have experience with expanded learning opportunities and include groups and agencies representing diverse student interests and geographical locations across the state. Up to fifteen participants, agencies, organizations, or individuals may be invited to participate in the council, and the membership shall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One representative from regional workforce development councils;</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 </w:t>
      </w:r>
      <w:r>
        <w:t>((</w:t>
      </w:r>
      <w:r>
        <w:rPr>
          <w:strike/>
        </w:rPr>
        <w:t xml:space="preserve">and</w:t>
      </w:r>
      <w:r>
        <w:t>))</w:t>
      </w:r>
    </w:p>
    <w:p>
      <w:pPr>
        <w:spacing w:before="0" w:after="0" w:line="408" w:lineRule="exact"/>
        <w:ind w:left="0" w:right="0" w:firstLine="576"/>
        <w:jc w:val="left"/>
      </w:pPr>
      <w:r>
        <w:rPr/>
        <w:t xml:space="preserve">(ix) </w:t>
      </w:r>
      <w:r>
        <w:rPr>
          <w:u w:val="single"/>
        </w:rPr>
        <w:t xml:space="preserve">A statewide nonprofit coalition that is representative of communities of color and low-income communities; and</w:t>
      </w:r>
    </w:p>
    <w:p>
      <w:pPr>
        <w:spacing w:before="0" w:after="0" w:line="408" w:lineRule="exact"/>
        <w:ind w:left="0" w:right="0" w:firstLine="576"/>
        <w:jc w:val="left"/>
      </w:pPr>
      <w:r>
        <w:rPr>
          <w:u w:val="single"/>
        </w:rPr>
        <w:t xml:space="preserve">(x)</w:t>
      </w:r>
      <w:r>
        <w:rPr/>
        <w:t xml:space="preserve"> A nonprofit organization with statewide experience in expanded learning opportunities frameworks.</w:t>
      </w:r>
    </w:p>
    <w:p>
      <w:pPr>
        <w:spacing w:before="0" w:after="0" w:line="408" w:lineRule="exact"/>
        <w:ind w:left="0" w:right="0" w:firstLine="576"/>
        <w:jc w:val="left"/>
      </w:pPr>
      <w:r>
        <w:rPr/>
        <w:t xml:space="preserve">(6) Staff support for the expanded learning opportunity council shall be provided by the office of the superintendent of public instruction and other state agencies as necessary. Appointees of the council shall be selected by May 30, 2014. The council shall hold its first meeting before August 1, 2014. At the first meeting, the council shall determine regularly scheduled meeting times and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2019.</w:t>
      </w:r>
    </w:p>
    <w:p/>
    <w:p>
      <w:pPr>
        <w:jc w:val="center"/>
      </w:pPr>
      <w:r>
        <w:rPr>
          <w:b/>
        </w:rPr>
        <w:t>--- END ---</w:t>
      </w:r>
    </w:p>
    <w:sectPr>
      <w:pgNumType w:start="1"/>
      <w:footerReference xmlns:r="http://schemas.openxmlformats.org/officeDocument/2006/relationships" r:id="Ra1fbae17b3154b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33f250c004ee3" /><Relationship Type="http://schemas.openxmlformats.org/officeDocument/2006/relationships/footer" Target="/word/footer.xml" Id="Ra1fbae17b3154bde" /></Relationships>
</file>