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9822a0eb9b4ad4" /></Relationships>
</file>

<file path=word/document.xml><?xml version="1.0" encoding="utf-8"?>
<w:document xmlns:w="http://schemas.openxmlformats.org/wordprocessingml/2006/main">
  <w:body>
    <w:p>
      <w:r>
        <w:t>S-0716.1</w:t>
      </w:r>
    </w:p>
    <w:p>
      <w:pPr>
        <w:jc w:val="center"/>
      </w:pPr>
      <w:r>
        <w:t>_______________________________________________</w:t>
      </w:r>
    </w:p>
    <w:p/>
    <w:p>
      <w:pPr>
        <w:jc w:val="center"/>
      </w:pPr>
      <w:r>
        <w:rPr>
          <w:b/>
        </w:rPr>
        <w:t>SENATE BILL 5751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Jayapal, Darneille, and Chase</w:t>
      </w:r>
    </w:p>
    <w:p/>
    <w:p>
      <w:r>
        <w:rPr>
          <w:t xml:space="preserve">Read first time 02/02/15.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burden of proof in civil asset forfeiture hearings;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w:t>
      </w:r>
      <w:r>
        <w:t>((</w:t>
      </w:r>
      <w:r>
        <w:rPr>
          <w:strike/>
        </w:rPr>
        <w:t xml:space="preserve">a preponderance of the</w:t>
      </w:r>
      <w:r>
        <w:t>))</w:t>
      </w:r>
      <w:r>
        <w:rPr>
          <w:u w:val="single"/>
        </w:rPr>
        <w:t xml:space="preserve">clear, cogent, and convincing</w:t>
      </w:r>
      <w:r>
        <w:rPr/>
        <w:t xml:space="preserv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u w:val="single"/>
        </w:rPr>
        <w:t xml:space="preserve">commission</w:t>
      </w:r>
      <w:r>
        <w:rPr/>
        <w:t xml:space="preserve">, the owners of which are unknown, are contraband and shall be summarily forfeited to the </w:t>
      </w:r>
      <w:r>
        <w:t>((</w:t>
      </w:r>
      <w:r>
        <w:rPr>
          <w:strike/>
        </w:rPr>
        <w:t xml:space="preserve">board</w:t>
      </w:r>
      <w:r>
        <w:t>))</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c80cc9e7404549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eab6e1c7cd49ea" /><Relationship Type="http://schemas.openxmlformats.org/officeDocument/2006/relationships/footer" Target="/word/footer.xml" Id="Rc80cc9e740454949" /></Relationships>
</file>