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3c99b76f447d9" /></Relationships>
</file>

<file path=word/document.xml><?xml version="1.0" encoding="utf-8"?>
<w:document xmlns:w="http://schemas.openxmlformats.org/wordprocessingml/2006/main">
  <w:body>
    <w:p>
      <w:r>
        <w:t>S-0634.1</w:t>
      </w:r>
    </w:p>
    <w:p>
      <w:pPr>
        <w:jc w:val="center"/>
      </w:pPr>
      <w:r>
        <w:t>_______________________________________________</w:t>
      </w:r>
    </w:p>
    <w:p/>
    <w:p>
      <w:pPr>
        <w:jc w:val="center"/>
      </w:pPr>
      <w:r>
        <w:rPr>
          <w:b/>
        </w:rPr>
        <w:t>SENATE BILL 5833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Kohl-Welles, Pearson, Darneille, and Chase</w:t>
      </w:r>
    </w:p>
    <w:p/>
    <w:p>
      <w:r>
        <w:rPr>
          <w:t xml:space="preserve">Read first time 02/05/15.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assault in the third degree; amending RCW 9A.36.031;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Assaults a utility worker, or employee of any publicly or privately owned utility company or agency, who is at the time of the act engaged in official duties, including: (i) The maintenance or repair of utility poles, lines, conduit, pipes, or other infrastructure; or (ii) connecting, disconnecting, or recoding utility meters. It is not a defense to a charge under this subsection (1)(l) that the worker was on the private property of the person charged, if the worker's assignment or general duties required or allowed entry on such property</w:t>
      </w:r>
      <w:r>
        <w:rPr/>
        <w:t xml:space="preserve">.</w:t>
      </w:r>
    </w:p>
    <w:p>
      <w:pPr>
        <w:spacing w:before="0" w:after="0" w:line="408" w:lineRule="exact"/>
        <w:ind w:left="0" w:right="0" w:firstLine="576"/>
        <w:jc w:val="left"/>
      </w:pPr>
      <w:r>
        <w:rPr/>
        <w:t xml:space="preserve">(2) Assault in the third degree is a class C felony.</w:t>
      </w:r>
    </w:p>
    <w:p/>
    <w:p>
      <w:pPr>
        <w:jc w:val="center"/>
      </w:pPr>
      <w:r>
        <w:rPr>
          <w:b/>
        </w:rPr>
        <w:t>--- END ---</w:t>
      </w:r>
    </w:p>
    <w:sectPr>
      <w:pgNumType w:start="1"/>
      <w:footerReference xmlns:r="http://schemas.openxmlformats.org/officeDocument/2006/relationships" r:id="R789d18cfdd754b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8de8f55433484c" /><Relationship Type="http://schemas.openxmlformats.org/officeDocument/2006/relationships/footer" Target="/word/footer.xml" Id="R789d18cfdd754b96" /></Relationships>
</file>