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925e3405764c2f" /></Relationships>
</file>

<file path=word/document.xml><?xml version="1.0" encoding="utf-8"?>
<w:document xmlns:w="http://schemas.openxmlformats.org/wordprocessingml/2006/main">
  <w:body>
    <w:p>
      <w:r>
        <w:t>S-2261.1</w:t>
      </w:r>
    </w:p>
    <w:p>
      <w:pPr>
        <w:jc w:val="center"/>
      </w:pPr>
      <w:r>
        <w:t>_______________________________________________</w:t>
      </w:r>
    </w:p>
    <w:p/>
    <w:p>
      <w:pPr>
        <w:jc w:val="center"/>
      </w:pPr>
      <w:r>
        <w:rPr>
          <w:b/>
        </w:rPr>
        <w:t>SUBSTITUTE SENATE BILL 5864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Nelson and Kohl-Welles)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cities to offset municipal service costs to newly annexed areas; and amending RCW 82.14.415.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2011 c 353 s 10 are each amended to read as follows:</w:t>
      </w:r>
    </w:p>
    <w:p>
      <w:pPr>
        <w:spacing w:before="0" w:after="0" w:line="408" w:lineRule="exact"/>
        <w:ind w:left="0" w:right="0" w:firstLine="576"/>
        <w:jc w:val="left"/>
      </w:pPr>
      <w:r>
        <w:rPr/>
        <w:t xml:space="preserve">(1) The legislative authority of any city that is located in a county with a population greater than six hundred thousand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t xml:space="preserve">(b)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(3)(a) Except as provided in (b) of this subsection, the maximum rate of tax any city may impose under this section is:</w:t>
      </w:r>
    </w:p>
    <w:p>
      <w:pPr>
        <w:spacing w:before="0" w:after="0" w:line="408" w:lineRule="exact"/>
        <w:ind w:left="0" w:right="0" w:firstLine="576"/>
        <w:jc w:val="left"/>
      </w:pPr>
      <w:r>
        <w:rPr/>
        <w:t xml:space="preserve">(i) 0.1 percent for each annexed area in which the population is greater than ten thousand and less than twenty thousand. The ten thousand population threshold in this subsection (3)(a)(i) is four thousand for a city with a population between one hundred fifteen thousand and one hundred forty thousand and located within a county with a population over one million five hundred thousand; and</w:t>
      </w:r>
    </w:p>
    <w:p>
      <w:pPr>
        <w:spacing w:before="0" w:after="0" w:line="408" w:lineRule="exact"/>
        <w:ind w:left="0" w:right="0" w:firstLine="576"/>
        <w:jc w:val="left"/>
      </w:pPr>
      <w:r>
        <w:rPr/>
        <w:t xml:space="preserve">(ii) 0.2 percent for an annexed area in which the population is greater than twenty thousand.</w:t>
      </w:r>
    </w:p>
    <w:p>
      <w:pPr>
        <w:spacing w:before="0" w:after="0" w:line="408" w:lineRule="exact"/>
        <w:ind w:left="0" w:right="0" w:firstLine="576"/>
        <w:jc w:val="left"/>
      </w:pPr>
      <w:r>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p>
    <w:p>
      <w:pPr>
        <w:spacing w:before="0" w:after="0" w:line="408" w:lineRule="exact"/>
        <w:ind w:left="0" w:right="0" w:firstLine="576"/>
        <w:jc w:val="left"/>
      </w:pPr>
      <w:r>
        <w:rPr/>
        <w:t xml:space="preserve">(4)(a) Except as provided in (b) of this subsection, the maximum cumulative rate of tax a city may impose under subsection (3)(a) of this section is 0.2 percent for the total number of annexed areas the city may annex.</w:t>
      </w:r>
    </w:p>
    <w:p>
      <w:pPr>
        <w:spacing w:before="0" w:after="0" w:line="408" w:lineRule="exact"/>
        <w:ind w:left="0" w:right="0" w:firstLine="576"/>
        <w:jc w:val="left"/>
      </w:pPr>
      <w:r>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t xml:space="preserve">(c) The maximum cumulative rate of tax a city may impose under subsection (3)(b) of this section is 0.85 percent for the single annexed area the city may annex and the amount of tax distributed to a city under subsection (3)(b) of this section may not exceed </w:t>
      </w:r>
      <w:r>
        <w:t>((</w:t>
      </w:r>
      <w:r>
        <w:rPr>
          <w:strike/>
        </w:rPr>
        <w:t xml:space="preserve">five million</w:t>
      </w:r>
      <w:r>
        <w:t>))</w:t>
      </w:r>
      <w:r>
        <w:rPr/>
        <w:t xml:space="preserve"> </w:t>
      </w:r>
      <w:r>
        <w:rPr>
          <w:u w:val="single"/>
        </w:rPr>
        <w:t xml:space="preserve">seven million seven hundred twenty-five thousand</w:t>
      </w:r>
      <w:r>
        <w:rPr/>
        <w:t xml:space="preserve"> dollars per fiscal year.</w:t>
      </w:r>
    </w:p>
    <w:p>
      <w:pPr>
        <w:spacing w:before="0" w:after="0" w:line="408" w:lineRule="exact"/>
        <w:ind w:left="0" w:right="0" w:firstLine="576"/>
        <w:jc w:val="left"/>
      </w:pPr>
      <w:r>
        <w:rPr/>
        <w:t xml:space="preserve">(5)</w:t>
      </w:r>
      <w:r>
        <w:rPr>
          <w:u w:val="single"/>
        </w:rPr>
        <w:t xml:space="preserve">(a) Except as provided in (b) of this subsection, t</w:t>
      </w:r>
      <w:r>
        <w:rPr/>
        <w:t xml:space="preserve">he tax imposed by this section may only be imposed at the beginning of a fiscal year and may continue for no more than ten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rPr>
          <w:u w:val="single"/>
        </w:rPr>
        <w:t xml:space="preserve">(b) The tax imposed under subsection (3)(b) of this section may only be imposed at the beginning of a fiscal year and may continue for no more than six years from the date that each increment of the tax is first imposed.</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2007.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The tax must cease to be distributed to a city imposing the tax under subsection (3)(b) of this section for the remainder of the fiscal year, if the total distributions to the city imposing the tax exceed </w:t>
      </w:r>
      <w:r>
        <w:t>((</w:t>
      </w:r>
      <w:r>
        <w:rPr>
          <w:strike/>
        </w:rPr>
        <w:t xml:space="preserve">five million</w:t>
      </w:r>
      <w:r>
        <w:t>))</w:t>
      </w:r>
      <w:r>
        <w:rPr/>
        <w:t xml:space="preserve"> </w:t>
      </w:r>
      <w:r>
        <w:rPr>
          <w:u w:val="single"/>
        </w:rPr>
        <w:t xml:space="preserve">seven million seven hundred twenty-five thousand</w:t>
      </w:r>
      <w:r>
        <w:rPr/>
        <w:t xml:space="preserve"> dollars for the fiscal year. </w:t>
      </w:r>
      <w:r>
        <w:rPr>
          <w:u w:val="single"/>
        </w:rPr>
        <w:t xml:space="preserve">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t xml:space="preserve">(11) The resident population of the annexation area must be determined in accordance with chapter 35.13 or 35A.14 RCW.</w:t>
      </w:r>
    </w:p>
    <w:p>
      <w:pPr>
        <w:spacing w:before="0" w:after="0" w:line="408" w:lineRule="exact"/>
        <w:ind w:left="0" w:right="0" w:firstLine="576"/>
        <w:jc w:val="left"/>
      </w:pPr>
      <w:r>
        <w:rPr/>
        <w:t xml:space="preserve">(12)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
      <w:pPr>
        <w:jc w:val="center"/>
      </w:pPr>
      <w:r>
        <w:rPr>
          <w:b/>
        </w:rPr>
        <w:t>--- END ---</w:t>
      </w:r>
    </w:p>
    <w:sectPr>
      <w:pgNumType w:start="1"/>
      <w:footerReference xmlns:r="http://schemas.openxmlformats.org/officeDocument/2006/relationships" r:id="Rb6d659d475ee4b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f9583604f04114" /><Relationship Type="http://schemas.openxmlformats.org/officeDocument/2006/relationships/footer" Target="/word/footer.xml" Id="Rb6d659d475ee4b30" /></Relationships>
</file>