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9d25165f64479" /></Relationships>
</file>

<file path=word/document.xml><?xml version="1.0" encoding="utf-8"?>
<w:document xmlns:w="http://schemas.openxmlformats.org/wordprocessingml/2006/main">
  <w:body>
    <w:p>
      <w:r>
        <w:t>S-1912.2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5925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Human Services, Mental Health &amp; Housing (originally sponsored by Senator Hargrove)</w:t>
      </w:r>
    </w:p>
    <w:p/>
    <w:p>
      <w:r>
        <w:rPr>
          <w:t xml:space="preserve">READ FIRST TIME 02/20/15.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diversion of nonfelony charges when a party has raised the issue of competency to stand trial; and adding a new section to chapter 10.77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10</w:t>
      </w:r>
      <w:r>
        <w:rPr/>
        <w:t xml:space="preserve">.</w:t>
      </w:r>
      <w:r>
        <w:t xml:space="preserve">77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If the defendant is charged with a nonfelony offense, and the issue of competency to stand trial is raised by the court or a party under RCW 10.77.060, the prosecutor may continue with the competency process or dismiss the charges without prejudice and refer the defendant for assessment by a mental health professional, chemical dependency professional, or developmental disabilities professional to determine the appropriate service needs for the defendant.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defendants with a current charge or prior conviction for a serious violent offense or sex offense as defined in RCW 9.94A.030.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5acb1ede3974fb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5925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04387dfb34571" /><Relationship Type="http://schemas.openxmlformats.org/officeDocument/2006/relationships/footer" Target="/word/footer.xml" Id="Rf5acb1ede3974fb5" /></Relationships>
</file>