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99f57574e2467f" /></Relationships>
</file>

<file path=word/document.xml><?xml version="1.0" encoding="utf-8"?>
<w:document xmlns:w="http://schemas.openxmlformats.org/wordprocessingml/2006/main">
  <w:body>
    <w:p>
      <w:r>
        <w:t>S-1527.1</w:t>
      </w:r>
    </w:p>
    <w:p>
      <w:pPr>
        <w:jc w:val="center"/>
      </w:pPr>
      <w:r>
        <w:t>_______________________________________________</w:t>
      </w:r>
    </w:p>
    <w:p/>
    <w:p>
      <w:pPr>
        <w:jc w:val="center"/>
      </w:pPr>
      <w:r>
        <w:rPr>
          <w:b/>
        </w:rPr>
        <w:t>SENATE BILL 5925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Hargrove</w:t>
      </w:r>
    </w:p>
    <w:p/>
    <w:p>
      <w:r>
        <w:rPr>
          <w:t xml:space="preserve">Read first time 02/11/15.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diversion of nonfelony charges when a party has raised the issue of competency to stand trial; and adding a new section to chapter 10.77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If the defendant is charged with a nonfelony offense, and the issue of competency to stand trial is raised by the court or a party under RCW 10.77.060, the prosecutor may continue with the competency process or dismiss the charges without prejudice and refer the defendant to an outpatient intensive treatment, residential treatment, or supportive housing program.</w:t>
      </w:r>
    </w:p>
    <w:p>
      <w:pPr>
        <w:spacing w:before="0" w:after="0" w:line="408" w:lineRule="exact"/>
        <w:ind w:left="0" w:right="0" w:firstLine="576"/>
        <w:jc w:val="left"/>
      </w:pPr>
      <w:r>
        <w:rPr/>
        <w:t xml:space="preserve">(2) If the prosecutor dismisses the charges and makes the referral under subsection (1) of this section, the prosecutor may not refile charges unless and until (a) the defendant is charged with a new crime; (b) the defendant fails to appear for intake at the referred program within thirty days of the dismissal; or (c) at least thirty days have elapsed since the dismissal, and there is a reasonable basis to believe the defendant's symptoms have cleared to the extent that there is reason to believe the defendant is competent to stand trial.</w:t>
      </w:r>
    </w:p>
    <w:p>
      <w:pPr>
        <w:spacing w:before="0" w:after="0" w:line="408" w:lineRule="exact"/>
        <w:ind w:left="0" w:right="0" w:firstLine="576"/>
        <w:jc w:val="left"/>
      </w:pPr>
      <w:r>
        <w:rPr/>
        <w:t xml:space="preserve">(3) This section does not apply to defendants with a current charge or prior conviction for a serious violent offense or sex offense as defined in RCW 9.94A.030.</w:t>
      </w:r>
    </w:p>
    <w:p/>
    <w:p>
      <w:pPr>
        <w:jc w:val="center"/>
      </w:pPr>
      <w:r>
        <w:rPr>
          <w:b/>
        </w:rPr>
        <w:t>--- END ---</w:t>
      </w:r>
    </w:p>
    <w:sectPr>
      <w:pgNumType w:start="1"/>
      <w:footerReference xmlns:r="http://schemas.openxmlformats.org/officeDocument/2006/relationships" r:id="R32be94544e0d42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ac95613ebe4ef7" /><Relationship Type="http://schemas.openxmlformats.org/officeDocument/2006/relationships/footer" Target="/word/footer.xml" Id="R32be94544e0d4272" /></Relationships>
</file>