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2c05c370b24044" /></Relationships>
</file>

<file path=word/document.xml><?xml version="1.0" encoding="utf-8"?>
<w:document xmlns:w="http://schemas.openxmlformats.org/wordprocessingml/2006/main">
  <w:body>
    <w:p>
      <w:r>
        <w:t>S-1523.2</w:t>
      </w:r>
    </w:p>
    <w:p>
      <w:pPr>
        <w:jc w:val="center"/>
      </w:pPr>
      <w:r>
        <w:t>_______________________________________________</w:t>
      </w:r>
    </w:p>
    <w:p/>
    <w:p>
      <w:pPr>
        <w:jc w:val="center"/>
      </w:pPr>
      <w:r>
        <w:rPr>
          <w:b/>
        </w:rPr>
        <w:t>SENATE BILL 5968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Benton, Mullet, Hatfield, and Miloscia</w:t>
      </w:r>
    </w:p>
    <w:p/>
    <w:p>
      <w:r>
        <w:rPr>
          <w:t xml:space="preserve">Read first time 02/13/15.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clarification that the owner or holder of a trust deed, or the owner or holder's designee, may initiate foreclosure proceedings; and amending RCW 61.24.030, 61.24.040, and 61.24.163.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owner </w:t>
      </w:r>
      <w:r>
        <w:rPr>
          <w:u w:val="single"/>
        </w:rPr>
        <w:t xml:space="preserve">or holder</w:t>
      </w:r>
      <w:r>
        <w:rPr/>
        <w:t xml:space="preserve"> of any promissory note or other obligation secured by the deed of trust. A declaration by the beneficiary made under the penalty of perjury stating that the beneficiary is the </w:t>
      </w:r>
      <w:r>
        <w:t>((</w:t>
      </w:r>
      <w:r>
        <w:rPr>
          <w:strike/>
        </w:rPr>
        <w:t xml:space="preserve">actual</w:t>
      </w:r>
      <w:r>
        <w:t>))</w:t>
      </w:r>
      <w:r>
        <w:rPr/>
        <w:t xml:space="preserve"> </w:t>
      </w:r>
      <w:r>
        <w:rPr>
          <w:u w:val="single"/>
        </w:rPr>
        <w:t xml:space="preserve">owner or</w:t>
      </w:r>
      <w:r>
        <w:rPr/>
        <w:t xml:space="preserve"> holder of the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and</w:t>
      </w:r>
    </w:p>
    <w:p>
      <w:pPr>
        <w:spacing w:before="0" w:after="0" w:line="408" w:lineRule="exact"/>
        <w:ind w:left="0" w:right="0" w:firstLine="576"/>
        <w:jc w:val="left"/>
      </w:pPr>
      <w:r>
        <w:rPr/>
        <w:t xml:space="preserve">(l) In the event the property secured by the deed of trust is residential real property, the name and address of the owner </w:t>
      </w:r>
      <w:r>
        <w:rPr>
          <w:u w:val="single"/>
        </w:rPr>
        <w:t xml:space="preserve">or holder</w:t>
      </w:r>
      <w:r>
        <w:rPr/>
        <w:t xml:space="preserve"> of any promissory notes or other obligations secured by the deed of trust and the name, address, and telephone number of a party acting as a servicer of the obligations secured by the deed of trust; and</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(f) of this subsection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(f) of this subsection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(f) of this subsection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(f) of this subsection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(f) of this subsection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(f) The notice shall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61.24.040(9)]</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(g) If the borrower received a letter under RCW 61.24.031, the notice specified in </w:t>
      </w:r>
      <w:r>
        <w:rPr>
          <w:u w:val="single"/>
        </w:rPr>
        <w:t xml:space="preserve">(f) of this</w:t>
      </w:r>
      <w:r>
        <w:rPr/>
        <w:t xml:space="preserve"> subsection </w:t>
      </w:r>
      <w:r>
        <w:t>((</w:t>
      </w:r>
      <w:r>
        <w:rPr>
          <w:strike/>
        </w:rPr>
        <w:t xml:space="preserve">(1)(f) of this section</w:t>
      </w:r>
      <w:r>
        <w:t>))</w:t>
      </w:r>
      <w:r>
        <w:rPr/>
        <w:t xml:space="preserve">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rPr/>
        <w:t xml:space="preserve">(2) In addition to providing the borrower and grantor the notice of sale described in subsection (1)(f)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w:t>
      </w:r>
      <w:r>
        <w:t>((</w:t>
      </w:r>
      <w:r>
        <w:rPr>
          <w:strike/>
        </w:rPr>
        <w:t xml:space="preserve">and owner of the obligation secured thereby</w:t>
      </w:r>
      <w:r>
        <w:t>))</w:t>
      </w:r>
      <w:r>
        <w:rPr/>
        <w:t xml:space="preserve">.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(3) In addition, the trustee shall cause a copy of the notice of sale described in subsection (1)(f)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rPr/>
        <w:t xml:space="preserve">(4)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(5)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(6)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(3)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(7)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(8) The sale as authorized under this chapter shall not take place less than one hundred ninety days from the date of default in any of the obligations secured;</w:t>
      </w:r>
    </w:p>
    <w:p>
      <w:pPr>
        <w:spacing w:before="0" w:after="0" w:line="408" w:lineRule="exact"/>
        <w:ind w:left="0" w:right="0" w:firstLine="576"/>
        <w:jc w:val="left"/>
      </w:pPr>
      <w:r>
        <w:rPr/>
        <w:t xml:space="preserve">(9)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(10)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Making Home Affordable Application (HAMP) package or such other equivalent homeowner financial information worksheet as required by the department. In the event the department is required to create a worksheet,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w:t>
      </w:r>
      <w:r>
        <w:rPr>
          <w:u w:val="single"/>
        </w:rPr>
        <w:t xml:space="preserve">or holder</w:t>
      </w:r>
      <w:r>
        <w:rPr/>
        <w:t xml:space="preserve">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including the home affordable modification program (HAMP) as applicable to government-sponsored enterprise and nongovernment-sponsored enterprise loans and any HAMP-related modification program applicable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
      <w:pPr>
        <w:jc w:val="center"/>
      </w:pPr>
      <w:r>
        <w:rPr>
          <w:b/>
        </w:rPr>
        <w:t>--- END ---</w:t>
      </w:r>
    </w:p>
    <w:sectPr>
      <w:pgNumType w:start="1"/>
      <w:footerReference xmlns:r="http://schemas.openxmlformats.org/officeDocument/2006/relationships" r:id="Re907b84a95324d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0b42fb36d4459d" /><Relationship Type="http://schemas.openxmlformats.org/officeDocument/2006/relationships/footer" Target="/word/footer.xml" Id="Re907b84a95324db3" /></Relationships>
</file>