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3bd8317e6145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5992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requirements for ferry vessel construction; amending RCW 47.60.005, 47.60.010, 47.60.810, 47.60.814, 47.60.820, and 47.56.030; adding a new section to chapter 47.60 RCW; repealing RCW 47.56.780;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0" w:after="0" w:line="408" w:lineRule="exact"/>
        <w:ind w:left="0" w:right="0" w:firstLine="576"/>
        <w:jc w:val="left"/>
      </w:pPr>
      <w:r>
        <w:rPr>
          <w:u w:val="single"/>
        </w:rPr>
        <w:t xml:space="preserve">(13)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the effective date of this section.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w:t>
      </w:r>
    </w:p>
    <w:p>
      <w:pPr>
        <w:spacing w:before="0" w:after="0" w:line="408" w:lineRule="exact"/>
        <w:ind w:left="0" w:right="0" w:firstLine="576"/>
        <w:jc w:val="left"/>
      </w:pPr>
      <w:r>
        <w:rPr>
          <w:u w:val="single"/>
        </w:rPr>
        <w:t xml:space="preserve">(d) Ensure that the contract is adhered to and the department's best interests are considered in all decisions; and</w:t>
      </w:r>
    </w:p>
    <w:p>
      <w:pPr>
        <w:spacing w:before="0" w:after="0" w:line="408" w:lineRule="exact"/>
        <w:ind w:left="0" w:right="0" w:firstLine="576"/>
        <w:jc w:val="left"/>
      </w:pPr>
      <w:r>
        <w:rPr>
          <w:u w:val="single"/>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u w:val="single"/>
        </w:rPr>
        <w:t xml:space="preserve">(1)</w:t>
      </w:r>
      <w:r>
        <w:rPr/>
        <w:t xml:space="preserve"> 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Solicitation of a proposal to participate in a design and build partnership with the department to design and construct the auto ferries;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Instructions on the prequalification process and procedures;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description of the design and build partnership process to be used for procurement of the vessels;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Instructions for the development of technical proposals in phase two, and information regarding confidentiality of technical proposals;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vessel delivery schedule, identification of the port on Puget Sound where delivery must take place, and the location where acceptance trials must be held;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estimated price range for the contract;</w:t>
      </w:r>
    </w:p>
    <w:p>
      <w:pPr>
        <w:spacing w:before="0" w:after="0" w:line="408" w:lineRule="exact"/>
        <w:ind w:left="0" w:right="0" w:firstLine="576"/>
        <w:jc w:val="left"/>
      </w:pPr>
      <w:r>
        <w:t>((</w:t>
      </w:r>
      <w:r>
        <w:rPr>
          <w:strike/>
        </w:rPr>
        <w:t xml:space="preserve">(9)</w:t>
      </w:r>
      <w:r>
        <w:t>))</w:t>
      </w:r>
      <w:r>
        <w:rPr/>
        <w:t xml:space="preserve"> </w:t>
      </w:r>
      <w:r>
        <w:rPr>
          <w:u w:val="single"/>
        </w:rPr>
        <w:t xml:space="preserve">(i) Notification that the contract will be a fixed price contract;</w:t>
      </w:r>
    </w:p>
    <w:p>
      <w:pPr>
        <w:spacing w:before="0" w:after="0" w:line="408" w:lineRule="exact"/>
        <w:ind w:left="0" w:right="0" w:firstLine="576"/>
        <w:jc w:val="left"/>
      </w:pPr>
      <w:r>
        <w:rPr>
          <w:u w:val="single"/>
        </w:rPr>
        <w:t xml:space="preserve">(j)</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(k)</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(l)</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(m)</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(n)</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(o)</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(p)</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(q)</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(r)</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w:t>
      </w:r>
      <w:r>
        <w:rPr>
          <w:u w:val="single"/>
        </w:rPr>
        <w:t xml:space="preserve">(1)(r)</w:t>
      </w:r>
      <w:r>
        <w:rPr/>
        <w:t xml:space="preserve">. For the purposes of this subsection </w:t>
      </w:r>
      <w:r>
        <w:rPr>
          <w:u w:val="single"/>
        </w:rPr>
        <w:t xml:space="preserve">(1)(r)</w:t>
      </w:r>
      <w:r>
        <w:rPr/>
        <w:t xml:space="preserve">,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(s) A requirement that all vessel design specifications and drawings must be complete and, when applicable, meet United States coast guard standards before vessel construction begins; and</w:t>
      </w:r>
    </w:p>
    <w:p>
      <w:pPr>
        <w:spacing w:before="0" w:after="0" w:line="408" w:lineRule="exact"/>
        <w:ind w:left="0" w:right="0" w:firstLine="576"/>
        <w:jc w:val="left"/>
      </w:pPr>
      <w:r>
        <w:rPr>
          <w:u w:val="single"/>
        </w:rPr>
        <w:t xml:space="preserve">(t)</w:t>
      </w:r>
      <w:r>
        <w:rPr/>
        <w:t xml:space="preserve"> A requirement that all warranty work on the vessel must be performed within the boundaries of the state of Washington, insofar as practical.</w:t>
      </w:r>
    </w:p>
    <w:p>
      <w:pPr>
        <w:spacing w:before="0" w:after="0" w:line="408" w:lineRule="exact"/>
        <w:ind w:left="0" w:right="0" w:firstLine="576"/>
        <w:jc w:val="left"/>
      </w:pPr>
      <w:r>
        <w:rPr>
          <w:u w:val="single"/>
        </w:rPr>
        <w:t xml:space="preserve">(2) The department shall not issue a request for proposals for the procurement of vessels, except on a contract executed before the effective date of this section, without specific authorization to do so from the legislature. After receiving such specific authorization, any request for proposals issued by the department must comply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 cost-benefit analysis of the state's ferry vessel procurement practices. This analysis must (a) compare in-state construction to construction at shipyards across the United States, (b) identify barriers to receiving three or more in-state bids to a request for proposals, and (c) recommend policies to encourage three or more in-state bidders to respond to a request for proposals. This analysis must be provided to the governor, the transportation committees of the legislature, and the department by December 1, 2016.</w:t>
      </w:r>
    </w:p>
    <w:p>
      <w:pPr>
        <w:spacing w:before="0" w:after="0" w:line="408" w:lineRule="exact"/>
        <w:ind w:left="0" w:right="0" w:firstLine="576"/>
        <w:jc w:val="left"/>
      </w:pPr>
      <w:r>
        <w:rPr/>
        <w:t xml:space="preserve">(2) In developing its engineer's estimate to procure a ferry vessel, the department must identify significant project cost drivers, including materials, labor, overhead, delivery, and profit.</w:t>
      </w:r>
    </w:p>
    <w:p>
      <w:pPr>
        <w:spacing w:before="0" w:after="0" w:line="408" w:lineRule="exact"/>
        <w:ind w:left="0" w:right="0" w:firstLine="576"/>
        <w:jc w:val="left"/>
      </w:pPr>
      <w:r>
        <w:rPr/>
        <w:t xml:space="preserve">(3) After July 1, 2017, if all responses to the initial request for proposals under RCW 47.60.814 are greater than five percent above the department's engineer's estimate for the project, the department must reject all proposals and issue a subsequent request for proposal that is not subject to RCW 47.60.814(1)(r).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(9)(a) To accommodate change orders on a fixed price contract, the department shall request that the legislative appropriation for any auto ferry construction project include a contingency in the following amounts:</w:t>
      </w:r>
    </w:p>
    <w:p>
      <w:pPr>
        <w:spacing w:before="0" w:after="0" w:line="408" w:lineRule="exact"/>
        <w:ind w:left="0" w:right="0" w:firstLine="576"/>
        <w:jc w:val="left"/>
      </w:pPr>
      <w:r>
        <w:rPr>
          <w:u w:val="single"/>
        </w:rPr>
        <w:t xml:space="preserve">(i) For the first vessel in any class of vessels designed to be powered by liquefied natural gas, the contingency may be no more than ten percent of the contract price;</w:t>
      </w:r>
    </w:p>
    <w:p>
      <w:pPr>
        <w:spacing w:before="0" w:after="0" w:line="408" w:lineRule="exact"/>
        <w:ind w:left="0" w:right="0" w:firstLine="576"/>
        <w:jc w:val="left"/>
      </w:pPr>
      <w:r>
        <w:rPr>
          <w:u w:val="single"/>
        </w:rPr>
        <w:t xml:space="preserve">(ii) For all other vessels, the contingency may be no more than five percent of the contract price.</w:t>
      </w:r>
    </w:p>
    <w:p>
      <w:pPr>
        <w:spacing w:before="0" w:after="0" w:line="408" w:lineRule="exact"/>
        <w:ind w:left="0" w:right="0" w:firstLine="576"/>
        <w:jc w:val="left"/>
      </w:pPr>
      <w:r>
        <w:rPr>
          <w:u w:val="single"/>
        </w:rPr>
        <w:t xml:space="preserve">(b) The contingency required by this subsection (9)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8865da8db1a43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5c011fcb04408f" /><Relationship Type="http://schemas.openxmlformats.org/officeDocument/2006/relationships/footer" Target="/word/footer.xml" Id="R28865da8db1a43d0" /></Relationships>
</file>