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c1115c93c740ee" /></Relationships>
</file>

<file path=word/document.xml><?xml version="1.0" encoding="utf-8"?>
<w:document xmlns:w="http://schemas.openxmlformats.org/wordprocessingml/2006/main">
  <w:body>
    <w:p>
      <w:r>
        <w:t>S-2077.1</w:t>
      </w:r>
    </w:p>
    <w:p>
      <w:pPr>
        <w:jc w:val="center"/>
      </w:pPr>
      <w:r>
        <w:t>_______________________________________________</w:t>
      </w:r>
    </w:p>
    <w:p/>
    <w:p>
      <w:pPr>
        <w:jc w:val="center"/>
      </w:pPr>
      <w:r>
        <w:rPr>
          <w:b/>
        </w:rPr>
        <w:t>SUBSTITUTE SENATE BILL 6015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Roach, Becker, Hargrove, Angel, Pearson, Conway, Sheldon, Hatfield, Dammeier, King, Honeyford, Schoesler, Hobbs, Ranker, and Baumgartner)</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the hunter education training program operated by the department of fish and wildlife through the issuance of national rifle association special license plates; amending RCW 46.68.425 and 77.15.425; reenacting and amending RCW 46.18.200, 46.17.220, and 46.18.060;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2014 c 77 s 1 and 2014 c 6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National rifle association</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Displays the national rifle association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w:t>
            </w:r>
          </w:p>
        </w:tc>
      </w:tr>
      <w:tr>
        <w:tc>
          <w:tcPr>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16"/>
              </w:rPr>
              <w:t xml:space="preserve">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0" w:after="0" w:line="408" w:lineRule="exact"/>
        <w:ind w:left="0" w:right="0" w:firstLine="576"/>
        <w:jc w:val="left"/>
      </w:pPr>
      <w:r>
        <w:rPr/>
        <w:t xml:space="preserve">(3) Applicants for initial and renewal professional firefighters and paramedics special license plates must show proof </w:t>
      </w:r>
      <w:r>
        <w:rPr>
          <w:u w:val="single"/>
        </w:rPr>
        <w:t xml:space="preserve">of</w:t>
      </w:r>
      <w:r>
        <w:rPr/>
        <w:t xml:space="preserve">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"National rifle association license plates" means special license plates issued under RCW 46.18.200 that display the "National Rifle Association" logo.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rPr>
                <w:rFonts w:ascii="Times New Roman" w:hAnsi="Times New Roman"/>
                <w:sz w:val="16"/>
              </w:rPr>
              <w:t xml:space="preserve">(p) </w:t>
            </w:r>
            <w:r>
              <w:rPr>
                <w:rFonts w:ascii="Times New Roman" w:hAnsi="Times New Roman"/>
                <w:sz w:val="16"/>
                <w:u w:val="single"/>
              </w:rPr>
              <w:t xml:space="preserve">National rifle association</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(q)</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w:t>
            </w:r>
            <w:r>
              <w:t>))</w:t>
            </w:r>
            <w:r>
              <w:rPr>
                <w:rFonts w:ascii="Times New Roman" w:hAnsi="Times New Roman"/>
                <w:sz w:val="16"/>
              </w:rPr>
              <w:t xml:space="preserve"> </w:t>
            </w:r>
            <w:r>
              <w:rPr>
                <w:rFonts w:ascii="Times New Roman" w:hAnsi="Times New Roman"/>
                <w:sz w:val="16"/>
                <w:u w:val="single"/>
              </w:rPr>
              <w:t xml:space="preserve">(r)</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(s)</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(t)</w:t>
            </w:r>
            <w:r>
              <w:rPr>
                <w:rFonts w:ascii="Times New Roman" w:hAnsi="Times New Roman"/>
                <w:sz w:val="16"/>
              </w:rPr>
              <w:t xml:space="preserve"> Seattle Sounders</w:t>
            </w:r>
          </w:p>
          <w:p>
            <w:pPr>
              <w:spacing w:before="0" w:after="0" w:line="408" w:lineRule="exact"/>
              <w:ind w:left="0" w:right="0" w:firstLine="288"/>
              <w:jc w:val="left"/>
            </w:pPr>
            <w:r>
              <w:rPr>
                <w:rFonts w:ascii="Times New Roman" w:hAnsi="Times New Roman"/>
                <w:sz w:val="16"/>
              </w:rPr>
              <w:t xml:space="preserve">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(u)</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(v)</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(w)</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(x)</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(y)</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(y)</w:t>
            </w:r>
            <w:r>
              <w:t>))</w:t>
            </w:r>
            <w:r>
              <w:rPr>
                <w:rFonts w:ascii="Times New Roman" w:hAnsi="Times New Roman"/>
                <w:sz w:val="16"/>
              </w:rPr>
              <w:t xml:space="preserve"> </w:t>
            </w:r>
            <w:r>
              <w:rPr>
                <w:rFonts w:ascii="Times New Roman" w:hAnsi="Times New Roman"/>
                <w:sz w:val="16"/>
                <w:u w:val="single"/>
              </w:rPr>
              <w:t xml:space="preserve">(z)</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(z)</w:t>
            </w:r>
            <w:r>
              <w:t>))</w:t>
            </w:r>
            <w:r>
              <w:rPr>
                <w:rFonts w:ascii="Times New Roman" w:hAnsi="Times New Roman"/>
                <w:sz w:val="16"/>
              </w:rPr>
              <w:t xml:space="preserve"> </w:t>
            </w:r>
            <w:r>
              <w:rPr>
                <w:rFonts w:ascii="Times New Roman" w:hAnsi="Times New Roman"/>
                <w:sz w:val="16"/>
                <w:u w:val="single"/>
              </w:rPr>
              <w:t xml:space="preserve">(aa)</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(bb)</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425</w:t>
      </w:r>
      <w:r>
        <w:rPr/>
        <w:t xml:space="preserve"> and 2014 c 77 s 3 are each amended to read as follows:</w:t>
      </w:r>
    </w:p>
    <w:p>
      <w:pPr>
        <w:spacing w:before="0" w:after="0" w:line="408" w:lineRule="exact"/>
        <w:ind w:left="0" w:right="0" w:firstLine="576"/>
        <w:jc w:val="left"/>
      </w:pPr>
      <w:r>
        <w:rPr/>
        <w:t xml:space="preserve">(1) The department shall:</w:t>
      </w:r>
    </w:p>
    <w:p>
      <w:pPr>
        <w:spacing w:before="0" w:after="120" w:line="408" w:lineRule="exact"/>
        <w:ind w:left="0" w:right="0" w:firstLine="576"/>
        <w:jc w:val="left"/>
      </w:pPr>
      <w:r>
        <w:rPr/>
        <w:t xml:space="preserve">(a) Collect special license plate fees established under RCW 46.17.220;</w:t>
      </w:r>
    </w:p>
    <w:p>
      <w:pPr>
        <w:spacing w:before="0" w:after="12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120" w:line="408" w:lineRule="exact"/>
        <w:ind w:left="0" w:right="0" w:firstLine="576"/>
        <w:jc w:val="left"/>
      </w:pPr>
      <w:r>
        <w:rPr/>
        <w:t xml:space="preserve">(c) Remit the remaining proceeds to the custody of the state treasurer with a proper identifying detailed report.</w:t>
      </w:r>
    </w:p>
    <w:p>
      <w:pPr>
        <w:spacing w:before="0" w:after="12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fees to the following accounts by special license plate type:</w:t>
      </w:r>
    </w:p>
    <w:tbl>
      <w:tblPr>
        <w:tblW w:w="0" w:type="auto"/>
        <w:jc w:val="center"/>
        <w:tcMar>
          <w:tblCellMar>
            <w:top w:w="0" w:type="dxa"/>
          </w:tblCellMar>
        </w:tcMar>
        <w:tcMar>
          <w:tblCellMar>
            <w:left w:w="0" w:type="dxa"/>
            <w:right w:w="0" w:type="dxa"/>
          </w:tblCellMar>
        </w:tcMar>
      </w:tblPr>
      <w:tblGrid>
        <w:gridCol w:w="1620"/>
        <w:gridCol w:w="1620"/>
        <w:gridCol w:w="1620"/>
      </w:tblGrid>
      <w:tr>
        <w:tc>
          <w:tcPr>
            <w:tcW w:w="1620" w:type="dxa"/>
            <w:vAlign w:val="top"/>
          </w:tcPr>
          <w:p>
            <w:pPr>
              <w:spacing w:before="0" w:after="0" w:line="408" w:lineRule="exact"/>
              <w:ind w:left="0" w:right="0" w:firstLine="0"/>
              <w:jc w:val="left"/>
            </w:pPr>
            <w:r>
              <w:rPr>
                <w:rFonts w:ascii="Times New Roman" w:hAnsi="Times New Roman"/>
                <w:sz w:val="16"/>
              </w:rPr>
              <w:t xml:space="preserve">SPECIAL LICENSE PLATE TYPE</w:t>
            </w:r>
          </w:p>
        </w:tc>
        <w:tc>
          <w:tcPr>
            <w:tcW w:w="1620" w:type="dxa"/>
            <w:vAlign w:val="top"/>
          </w:tcPr>
          <w:p>
            <w:pPr>
              <w:spacing w:before="0" w:after="0" w:line="408" w:lineRule="exact"/>
              <w:ind w:left="0" w:right="0" w:firstLine="0"/>
              <w:jc w:val="left"/>
            </w:pPr>
            <w:r>
              <w:rPr>
                <w:rFonts w:ascii="Times New Roman" w:hAnsi="Times New Roman"/>
                <w:sz w:val="16"/>
              </w:rPr>
              <w:t xml:space="preserve">ACCOUNT</w:t>
            </w:r>
          </w:p>
        </w:tc>
        <w:tc>
          <w:tcPr>
            <w:tcW w:w="1620" w:type="dxa"/>
            <w:vAlign w:val="top"/>
          </w:tcPr>
          <w:p>
            <w:pPr>
              <w:spacing w:before="0" w:after="0" w:line="408" w:lineRule="exact"/>
              <w:ind w:left="0" w:right="0" w:firstLine="0"/>
              <w:jc w:val="left"/>
            </w:pPr>
            <w:r>
              <w:rPr>
                <w:rFonts w:ascii="Times New Roman" w:hAnsi="Times New Roman"/>
                <w:sz w:val="16"/>
              </w:rPr>
              <w:t xml:space="preserve">CONDITIONS FOR USE OF FUNDS</w:t>
            </w:r>
          </w:p>
        </w:tc>
      </w:tr>
      <w:tr>
        <w:tc>
          <w:tcPr>
            <w:tcW w:w="1620" w:type="dxa"/>
            <w:vAlign w:val="top"/>
          </w:tcPr>
          <w:p>
            <w:pPr>
              <w:spacing w:before="0" w:after="0" w:line="408" w:lineRule="exact"/>
              <w:ind w:left="0" w:right="0" w:firstLine="0"/>
              <w:jc w:val="left"/>
            </w:pPr>
            <w:r>
              <w:rPr>
                <w:rFonts w:ascii="Times New Roman" w:hAnsi="Times New Roman"/>
                <w:sz w:val="16"/>
              </w:rPr>
              <w:t xml:space="preserve">Armed forces</w:t>
            </w:r>
          </w:p>
        </w:tc>
        <w:tc>
          <w:tcPr>
            <w:tcW w:w="1620" w:type="dxa"/>
            <w:vAlign w:val="top"/>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Pr>
          <w:p>
            <w:pPr>
              <w:spacing w:before="0" w:after="0" w:line="408" w:lineRule="exact"/>
              <w:ind w:left="0" w:right="0" w:firstLine="0"/>
              <w:jc w:val="left"/>
            </w:pPr>
            <w:r>
              <w:rPr>
                <w:rFonts w:ascii="Times New Roman" w:hAnsi="Times New Roman"/>
                <w:sz w:val="16"/>
              </w:rPr>
              <w:t xml:space="preserve">N/A</w:t>
            </w:r>
          </w:p>
        </w:tc>
      </w:tr>
      <w:tr>
        <w:tc>
          <w:tcPr>
            <w:tcW w:w="16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1620" w:type="dxa"/>
            <w:vAlign w:val="top"/>
          </w:tcPr>
          <w:p>
            <w:pPr>
              <w:spacing w:before="0" w:after="0" w:line="408" w:lineRule="exact"/>
              <w:ind w:left="0" w:right="0" w:firstLine="0"/>
              <w:jc w:val="left"/>
            </w:pPr>
            <w:r>
              <w:rPr>
                <w:rFonts w:ascii="Times New Roman" w:hAnsi="Times New Roman"/>
                <w:sz w:val="16"/>
              </w:rPr>
              <w:t xml:space="preserve">RCW 43.70.327</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by the department of health for efforts consistent with the breast, cervical, and colon health program</w:t>
            </w:r>
          </w:p>
        </w:tc>
      </w:tr>
      <w:tr>
        <w:tc>
          <w:tcPr>
            <w:tcW w:w="16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for the department of fish and wildlife's endangered wildlife program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1620" w:type="dxa"/>
            <w:vAlign w:val="top"/>
          </w:tcPr>
          <w:p>
            <w:pPr>
              <w:spacing w:before="0" w:after="0" w:line="408" w:lineRule="exact"/>
              <w:ind w:left="0" w:right="0" w:firstLine="0"/>
              <w:jc w:val="left"/>
            </w:pPr>
            <w:r>
              <w:rPr>
                <w:rFonts w:ascii="Times New Roman" w:hAnsi="Times New Roman"/>
                <w:sz w:val="16"/>
              </w:rPr>
              <w:t xml:space="preserve">RCW 43.121.100</w:t>
            </w:r>
          </w:p>
        </w:tc>
        <w:tc>
          <w:tcPr>
            <w:tcW w:w="1620" w:type="dxa"/>
            <w:vAlign w:val="top"/>
          </w:tcPr>
          <w:p>
            <w:pPr>
              <w:spacing w:before="0" w:after="0" w:line="408" w:lineRule="exact"/>
              <w:ind w:left="0" w:right="0" w:firstLine="0"/>
              <w:jc w:val="left"/>
            </w:pPr>
            <w:r>
              <w:rPr>
                <w:rFonts w:ascii="Times New Roman" w:hAnsi="Times New Roman"/>
                <w:sz w:val="16"/>
              </w:rPr>
              <w:t xml:space="preserve">As specified in RCW 43.121.100</w:t>
            </w:r>
          </w:p>
        </w:tc>
      </w:tr>
      <w:tr>
        <w:tc>
          <w:tcPr>
            <w:tcW w:w="1620" w:type="dxa"/>
            <w:vAlign w:val="top"/>
          </w:tcPr>
          <w:p>
            <w:pPr>
              <w:spacing w:before="0" w:after="0" w:line="408" w:lineRule="exact"/>
              <w:ind w:left="0" w:right="0" w:firstLine="0"/>
              <w:jc w:val="left"/>
            </w:pPr>
            <w:r>
              <w:rPr>
                <w:rFonts w:ascii="Times New Roman" w:hAnsi="Times New Roman"/>
                <w:sz w:val="16"/>
                <w:u w:val="single"/>
              </w:rPr>
              <w:t xml:space="preserve">National rifle</w:t>
            </w:r>
          </w:p>
          <w:p>
            <w:pPr>
              <w:spacing w:before="0" w:after="0" w:line="408" w:lineRule="exact"/>
              <w:ind w:left="0" w:right="0" w:firstLine="0"/>
              <w:jc w:val="left"/>
            </w:pPr>
            <w:r>
              <w:rPr>
                <w:rFonts w:ascii="Times New Roman" w:hAnsi="Times New Roman"/>
                <w:sz w:val="16"/>
                <w:u w:val="single"/>
              </w:rPr>
              <w:t xml:space="preserve">association</w:t>
            </w:r>
          </w:p>
        </w:tc>
        <w:tc>
          <w:tcPr>
            <w:tcW w:w="1620" w:type="dxa"/>
            <w:vAlign w:val="top"/>
          </w:tcPr>
          <w:p>
            <w:pPr>
              <w:spacing w:before="0" w:after="0" w:line="408" w:lineRule="exact"/>
              <w:ind w:left="0" w:right="0" w:firstLine="0"/>
              <w:jc w:val="left"/>
            </w:pPr>
            <w:r>
              <w:rPr>
                <w:rFonts w:ascii="Times New Roman" w:hAnsi="Times New Roman"/>
                <w:sz w:val="16"/>
                <w:u w:val="single"/>
              </w:rPr>
              <w:t xml:space="preserve">RCW 77.15.425</w:t>
            </w:r>
          </w:p>
        </w:tc>
        <w:tc>
          <w:tcPr>
            <w:tcW w:w="1620" w:type="dxa"/>
            <w:vAlign w:val="top"/>
          </w:tcPr>
          <w:p>
            <w:pPr>
              <w:spacing w:before="0" w:after="0" w:line="408" w:lineRule="exact"/>
              <w:ind w:left="0" w:right="0" w:firstLine="0"/>
              <w:jc w:val="left"/>
            </w:pPr>
            <w:r>
              <w:rPr>
                <w:rFonts w:ascii="Times New Roman" w:hAnsi="Times New Roman"/>
                <w:sz w:val="16"/>
                <w:u w:val="single"/>
              </w:rPr>
              <w:t xml:space="preserve">For the enhanced support of firearm safety and education as part of the hunter education training program under RCW 77.32.155</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1620" w:type="dxa"/>
            <w:vAlign w:val="top"/>
          </w:tcPr>
          <w:p>
            <w:pPr>
              <w:spacing w:before="0" w:after="0" w:line="408" w:lineRule="exact"/>
              <w:ind w:left="0" w:right="0" w:firstLine="0"/>
              <w:jc w:val="left"/>
            </w:pPr>
            <w:r>
              <w:rPr>
                <w:rFonts w:ascii="Times New Roman" w:hAnsi="Times New Roman"/>
                <w:sz w:val="16"/>
              </w:rPr>
              <w:t xml:space="preserve">RCW 79A.05.059</w:t>
            </w:r>
          </w:p>
        </w:tc>
        <w:tc>
          <w:tcPr>
            <w:tcW w:w="1620" w:type="dxa"/>
            <w:vAlign w:val="top"/>
          </w:tcPr>
          <w:p>
            <w:pPr>
              <w:spacing w:before="0" w:after="0" w:line="408" w:lineRule="exact"/>
              <w:ind w:left="0" w:right="0" w:firstLine="0"/>
              <w:jc w:val="left"/>
            </w:pPr>
            <w:r>
              <w:rPr>
                <w:rFonts w:ascii="Times New Roman" w:hAnsi="Times New Roman"/>
                <w:sz w:val="16"/>
              </w:rPr>
              <w:t xml:space="preserve">Provide public educational opportunities and enhancement of Washington state parks</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Only for the department of fish and wildlife's game species management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Dedicated to the department of fish and wildlife's watchable wildlife activities, as defined in RCW 77.32.560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425</w:t>
      </w:r>
      <w:r>
        <w:rPr/>
        <w:t xml:space="preserve"> and 2014 c 48 s 17 are each amended to read as follows:</w:t>
      </w:r>
    </w:p>
    <w:p>
      <w:pPr>
        <w:spacing w:before="0" w:after="0" w:line="408" w:lineRule="exact"/>
        <w:ind w:left="0" w:right="0" w:firstLine="576"/>
        <w:jc w:val="left"/>
      </w:pPr>
      <w:r>
        <w:rPr/>
        <w:t xml:space="preserve">The fish and wildlife enforcement reward account is created in the custody of the state treasurer. Deposits to the account include: Receipts from fish and shellfish overages as a result of a department enforcement action; fees for hunter education deferral applications; fees for master hunter applications and master hunter certification renewals; </w:t>
      </w:r>
      <w:r>
        <w:rPr>
          <w:u w:val="single"/>
        </w:rPr>
        <w:t xml:space="preserve">fees for national rifle association license plates as provided in RCW 46.68.425;</w:t>
      </w:r>
      <w:r>
        <w:rPr/>
        <w:t xml:space="preserve"> all receipts from criminal wildlife penalty assessments under RCW 77.15.370, 77.15.400, and 77.15.420; all receipts of court-ordered restitution or donations associated with any fish, shellfish, or wildlife enforcement action; and proceeds from forfeitures and evidence pursuant to RCW 77.15.070 and 77.15.100. The department may accept money or personal property from persons under conditions requiring the property or money to be used consistent with the intent of expenditures from the fish and wildlife enforcement reward account. Expenditures from the account may be used only for investigation and prosecution of fish and wildlife offenses, to provide rewards to persons informing the department about violations of this title and rules adopted under this title, to offset department-approved costs incurred to administer the hunter education deferral program and the master hunter permit program, </w:t>
      </w:r>
      <w:r>
        <w:rPr>
          <w:u w:val="single"/>
        </w:rPr>
        <w:t xml:space="preserve">for the enhanced support of firearm safety and education as part of the hunter education training program under RCW 77.32.155,</w:t>
      </w:r>
      <w:r>
        <w:rPr/>
        <w:t xml:space="preserve"> and for other valid enforcement uses as determined by the commission.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060</w:t>
      </w:r>
      <w:r>
        <w:rPr/>
        <w:t xml:space="preserve"> and 2014 c 77 s 5 and 2014 c 6 s 4 are each reenacted and amended to read as follows:</w:t>
      </w:r>
    </w:p>
    <w:p>
      <w:pPr>
        <w:spacing w:before="0" w:after="0" w:line="408" w:lineRule="exact"/>
        <w:ind w:left="0" w:right="0" w:firstLine="576"/>
        <w:jc w:val="left"/>
      </w:pPr>
      <w:r>
        <w:rPr/>
        <w:t xml:space="preserve">(1) The department must review and either approve or reject special license plate applications submitted by sponsoring organizations.</w:t>
      </w:r>
    </w:p>
    <w:p>
      <w:pPr>
        <w:spacing w:before="0" w:after="0" w:line="408" w:lineRule="exact"/>
        <w:ind w:left="0" w:right="0" w:firstLine="576"/>
        <w:jc w:val="left"/>
      </w:pPr>
      <w:r>
        <w:rPr/>
        <w:t xml:space="preserve">(2) Duties of the department include, but are not limited to, the following:</w:t>
      </w:r>
    </w:p>
    <w:p>
      <w:pPr>
        <w:spacing w:before="0" w:after="0" w:line="408" w:lineRule="exact"/>
        <w:ind w:left="0" w:right="0" w:firstLine="576"/>
        <w:jc w:val="left"/>
      </w:pPr>
      <w:r>
        <w:rPr/>
        <w:t xml:space="preserve">(a) Review and approve the annual financial reports submitted by sponsoring organizations with active special license plate series and present those annual financial reports to the joint transportation committee;</w:t>
      </w:r>
    </w:p>
    <w:p>
      <w:pPr>
        <w:spacing w:before="0" w:after="0" w:line="408" w:lineRule="exact"/>
        <w:ind w:left="0" w:right="0" w:firstLine="576"/>
        <w:jc w:val="left"/>
      </w:pPr>
      <w:r>
        <w:rPr/>
        <w:t xml:space="preserve">(b) Report annually to the joint transportation committee on the special license plate applications that were considered by the department;</w:t>
      </w:r>
    </w:p>
    <w:p>
      <w:pPr>
        <w:spacing w:before="0" w:after="0" w:line="408" w:lineRule="exact"/>
        <w:ind w:left="0" w:right="0" w:firstLine="576"/>
        <w:jc w:val="left"/>
      </w:pPr>
      <w:r>
        <w:rPr/>
        <w:t xml:space="preserve">(c) Issue approval and rejection notification letters to sponsoring organizations, the executive committee of the joint transportation committee, and the legislative sponsors identified in each application. The letters must be issued within seven days of making a determination on the status of an application; and</w:t>
      </w:r>
    </w:p>
    <w:p>
      <w:pPr>
        <w:spacing w:before="0" w:after="0" w:line="408" w:lineRule="exact"/>
        <w:ind w:left="0" w:right="0" w:firstLine="576"/>
        <w:jc w:val="left"/>
      </w:pPr>
      <w:r>
        <w:rPr/>
        <w:t xml:space="preserve">(d) Review annually the number of plates sold for each special license plate series created after January 1, 2003. The department may submit a recommendation to discontinue a special plate series to the executive committee of the joint transportation committee.</w:t>
      </w:r>
    </w:p>
    <w:p>
      <w:pPr>
        <w:spacing w:before="0" w:after="0" w:line="408" w:lineRule="exact"/>
        <w:ind w:left="0" w:right="0" w:firstLine="576"/>
        <w:jc w:val="left"/>
      </w:pPr>
      <w:r>
        <w:rPr/>
        <w:t xml:space="preserve">(3) In order to assess the effects and impact of the proliferation of special license plates, the legislature declares a temporary moratorium on the issuance of any additional plates until July 1, 2015. During this period of time, the department is prohibited from accepting, reviewing, processing, or approving any applications. Additionally, a special license plate may not be enacted by the legislature during the moratorium, unless the proposed license plate has been approved by the former special license plate review board before February 15, 2005.</w:t>
      </w:r>
    </w:p>
    <w:p>
      <w:pPr>
        <w:spacing w:before="0" w:after="0" w:line="408" w:lineRule="exact"/>
        <w:ind w:left="0" w:right="0" w:firstLine="576"/>
        <w:jc w:val="left"/>
      </w:pPr>
      <w:r>
        <w:rPr/>
        <w:t xml:space="preserve">(4) The limitations under subsection (3) of this section do not apply to the following special license plates:</w:t>
      </w:r>
    </w:p>
    <w:p>
      <w:pPr>
        <w:spacing w:before="0" w:after="0" w:line="408" w:lineRule="exact"/>
        <w:ind w:left="0" w:right="0" w:firstLine="576"/>
        <w:jc w:val="left"/>
      </w:pPr>
      <w:r>
        <w:rPr/>
        <w:t xml:space="preserve">(a) 4-H license plates created under RCW 46.18.200;</w:t>
      </w:r>
    </w:p>
    <w:p>
      <w:pPr>
        <w:spacing w:before="0" w:after="0" w:line="408" w:lineRule="exact"/>
        <w:ind w:left="0" w:right="0" w:firstLine="576"/>
        <w:jc w:val="left"/>
      </w:pPr>
      <w:r>
        <w:rPr/>
        <w:t xml:space="preserve">(b) Breast cancer awareness license plates created under RCW 46.18.200;</w:t>
      </w:r>
    </w:p>
    <w:p>
      <w:pPr>
        <w:spacing w:before="0" w:after="0" w:line="408" w:lineRule="exact"/>
        <w:ind w:left="0" w:right="0" w:firstLine="576"/>
        <w:jc w:val="left"/>
      </w:pPr>
      <w:r>
        <w:rPr/>
        <w:t xml:space="preserve">(c) Gold star license plates created under RCW 46.18.245;</w:t>
      </w:r>
    </w:p>
    <w:p>
      <w:pPr>
        <w:spacing w:before="0" w:after="0" w:line="408" w:lineRule="exact"/>
        <w:ind w:left="0" w:right="0" w:firstLine="576"/>
        <w:jc w:val="left"/>
      </w:pPr>
      <w:r>
        <w:rPr/>
        <w:t xml:space="preserve">(d) Music Matters license plates created under RCW 46.18.200;</w:t>
      </w:r>
    </w:p>
    <w:p>
      <w:pPr>
        <w:spacing w:before="0" w:after="0" w:line="408" w:lineRule="exact"/>
        <w:ind w:left="0" w:right="0" w:firstLine="576"/>
        <w:jc w:val="left"/>
      </w:pPr>
      <w:r>
        <w:rPr/>
        <w:t xml:space="preserve">(e) </w:t>
      </w:r>
      <w:r>
        <w:rPr>
          <w:u w:val="single"/>
        </w:rPr>
        <w:t xml:space="preserve">National rifle association license plates created under RCW 46.18.200;</w:t>
      </w:r>
    </w:p>
    <w:p>
      <w:pPr>
        <w:spacing w:before="0" w:after="0" w:line="408" w:lineRule="exact"/>
        <w:ind w:left="0" w:right="0" w:firstLine="576"/>
        <w:jc w:val="left"/>
      </w:pPr>
      <w:r>
        <w:rPr>
          <w:u w:val="single"/>
        </w:rPr>
        <w:t xml:space="preserve">(f)</w:t>
      </w:r>
      <w:r>
        <w:rPr/>
        <w:t xml:space="preserve"> Seattle Seahawks license plates created under RCW 46.18.200;</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Seattle Sounders FC license plates created under RCW 46.18.200;</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Seattle University license plates created under RCW 46.18.200;</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State flower license plates created under RCW 46.18.200;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Volunteer firefighter license plates created under RCW 46.18.200.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9be10e167fba41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842bc6a3f74b61" /><Relationship Type="http://schemas.openxmlformats.org/officeDocument/2006/relationships/footer" Target="/word/footer.xml" Id="R9be10e167fba41ed" /></Relationships>
</file>