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022c4889345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Honeyford and Keiser; by request of Office of Financial Management)</w:t>
      </w:r>
    </w:p>
    <w:p/>
    <w:p>
      <w:r>
        <w:rPr>
          <w:t xml:space="preserve">READ FIRST TIME 02/26/16.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70.148.020; amending 2015 3rd sp.s. c 3 ss 1036, 1040, 1076, 1077, 1079, 1083, 1088, 1095, 1108, 1114, 2004, 2016, 2023, 2035, 3010, 3020, 3022, 3026, 3028, 3033, 3046, 3047, 3054, 3056, 3059, 3062, 3066, 3074, 3075, 3081, 3084, 3109, 3165, 3166, 3179, 3200, 3211, 3229, 3235, 3232, 4002, 5010, 5011, 5012, 5013, 5028, 5054, 5065, 5085, 5086, 5089, 5098, 5099, 7001, 7002, 7012, 7023, 7037, and 7038 (uncodified); adding a new section to chapter 43.79 RCW; adding new sections to 2015 3rd sp.s. c 3 (uncodified); creating a new section; repealing 2015 3rd sp.s. c 3 ss 1072 and 5074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$43,552,000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$43,552,000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w:t>
      </w:r>
      <w:r>
        <w:rPr>
          <w:u w:val="single"/>
        </w:rPr>
        <w:t xml:space="preserve">There shall be no limitations on the sequence on the purchase of mobile home parks.</w:t>
      </w:r>
      <w:r>
        <w:rPr/>
        <w:t xml:space="preserve">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120" w:line="408" w:lineRule="exact"/>
        <w:ind w:left="0" w:right="0" w:firstLine="576"/>
        <w:jc w:val="left"/>
      </w:pPr>
      <w:r>
        <w:rPr/>
        <w:t xml:space="preserve">(12) </w:t>
      </w:r>
      <w:r>
        <w:rPr>
          <w:u w:val="single"/>
        </w:rPr>
        <w:t xml:space="preserve">Funds provided for the city of Stanwood police station/city hall relocation are for acquisition.</w:t>
      </w:r>
    </w:p>
    <w:p>
      <w:pPr>
        <w:spacing w:before="0" w:after="120" w:line="408" w:lineRule="exact"/>
        <w:ind w:left="0" w:right="0" w:firstLine="576"/>
        <w:jc w:val="left"/>
      </w:pPr>
      <w:r>
        <w:rPr>
          <w:u w:val="single"/>
        </w:rPr>
        <w:t xml:space="preserve">(13)</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police station/city hall relocation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t>((</w:t>
            </w:r>
            <w:r>
              <w:rPr>
                <w:rFonts w:ascii="Times New Roman" w:hAnsi="Times New Roman"/>
                <w:strike/>
                <w:sz w:val="20"/>
              </w:rPr>
              <w:t xml:space="preserve">$450,000</w:t>
            </w:r>
            <w:r>
              <w:t>))</w:t>
            </w:r>
            <w:r>
              <w:rPr>
                <w:rFonts w:ascii="Times New Roman" w:hAnsi="Times New Roman"/>
                <w:sz w:val="20"/>
              </w:rPr>
              <w:t xml:space="preserve"> </w:t>
            </w:r>
            <w:r>
              <w:rPr>
                <w:rFonts w:ascii="Times New Roman" w:hAnsi="Times New Roman"/>
                <w:sz w:val="20"/>
                <w:u w:val="single"/>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Spokane Family Justice Center at the YWCA</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$75,000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t>((</w:t>
            </w:r>
            <w:r>
              <w:rPr>
                <w:rFonts w:ascii="Times New Roman" w:hAnsi="Times New Roman"/>
                <w:strike/>
                <w:sz w:val="20"/>
              </w:rPr>
              <w:t xml:space="preserve">$130,169,000</w:t>
            </w:r>
            <w:r>
              <w:t>))</w:t>
            </w:r>
            <w:r>
              <w:rPr>
                <w:rFonts w:ascii="Times New Roman" w:hAnsi="Times New Roman"/>
                <w:sz w:val="20"/>
              </w:rPr>
              <w:t xml:space="preserve"> </w:t>
            </w:r>
            <w:r>
              <w:rPr>
                <w:rFonts w:ascii="Times New Roman" w:hAnsi="Times New Roman"/>
                <w:sz w:val="20"/>
                <w:u w:val="single"/>
              </w:rPr>
              <w:t xml:space="preserve">$130,334,000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$130,169,000</w:t>
      </w:r>
      <w:r>
        <w:t>))</w:t>
      </w:r>
    </w:p>
    <w:p>
      <w:pPr>
        <w:spacing w:before="0" w:after="0" w:line="408" w:lineRule="exact"/>
        <w:ind w:left="0" w:right="0" w:firstLine="0"/>
        <w:jc w:val="left"/>
        <w:tabs>
          <w:tab w:val="right" w:leader="none" w:pos="9936"/>
        </w:tabs>
      </w:pPr>
      <w:r>
        <w:tab/>
      </w:r>
      <w:r>
        <w:rPr>
          <w:u w:val="single"/>
        </w:rPr>
        <w:t xml:space="preserve">$130,334,000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$130,169,000</w:t>
      </w:r>
    </w:p>
    <w:p>
      <w:pPr>
        <w:tabs>
          <w:tab w:val="right" w:leader="none" w:pos="9936"/>
        </w:tabs>
        <w:ind w:left="0" w:right="0" w:firstLine="1440"/>
      </w:pPr>
      <w:r>
        <w:tab/>
      </w:r>
      <w:r>
        <w:rPr>
          <w:u w:val="single"/>
        </w:rPr>
        <w:t xml:space="preserve">$130,334,000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Base Realignment and Closure Commission Preparation (92000383)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Mother Joseph Academy Roof Replacement (92000384)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Mental Health Housing, First and Denny (92000385)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Tenino Historical Museum Roof (92000386)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Asian Pacific Cultural Center (92000387)</w:t>
      </w:r>
    </w:p>
    <w:p>
      <w:pPr>
        <w:spacing w:before="120" w:after="0" w:line="408" w:lineRule="exact"/>
        <w:ind w:left="0" w:right="0" w:firstLine="576"/>
        <w:jc w:val="left"/>
      </w:pPr>
      <w:r>
        <w:rPr/>
        <w:t xml:space="preserve">As the most trade dependent state in the nation, the legislature recognizes the significant statewide benefits to be gained from the proposed Asian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As the project continues to move forward, the legislature intends to support its development through a grant to be used for project design.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Mental Health Housing Health Homes (92000381)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for the construction or renovation of 4 health homes that will serve people with severe health and housing challenges, including those who are medically fragile and those who have been diagnosed with a chronic behavioral health disorder, that commit to participate in treatment through the duration of their stay. The homes must: (a) Be located in counties that have adopted the tax, authorized under RCW 82.14.460, for chemical dependency or mental health treatment services; (b) be located in counties that have adopted fully integrated managed care for medicaid; and (c)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t xml:space="preserve">(2) Local housing authorities may serve as fiscal agents for the projects.</w:t>
      </w:r>
    </w:p>
    <w:p>
      <w:pPr>
        <w:spacing w:before="0" w:after="0" w:line="408" w:lineRule="exact"/>
        <w:ind w:left="0" w:right="0" w:firstLine="576"/>
        <w:jc w:val="left"/>
      </w:pPr>
      <w:r>
        <w:rPr/>
        <w:t xml:space="preserve">(3) $1,500,000 of the state building construction account</w:t>
      </w:r>
      <w:r>
        <w:rPr>
          <w:rFonts w:ascii="Times New Roman" w:hAnsi="Times New Roman"/>
        </w:rPr>
        <w:t xml:space="preserve">—</w:t>
      </w:r>
      <w:r>
        <w:rPr/>
        <w:t xml:space="preserve">state appropriation is provided solely for the establishment of a health home in Pierce county. The amount in this subsection is contingent upon Pierce county adopting the tax authorized under RCW 82.14.460.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0" w:after="0" w:line="408" w:lineRule="exact"/>
        <w:ind w:left="0" w:right="0" w:firstLine="576"/>
        <w:jc w:val="left"/>
      </w:pPr>
      <w:r>
        <w:rPr>
          <w:u w:val="single"/>
        </w:rPr>
        <w:t xml:space="preserve">(2) $1,000,000 of the appropriation is provided solely for minor works repairs at west sound skill center.</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State Agency Laboratory Colocation Study (92000013)</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evaluate the feasibility of collocating state agency laboratories. Participating agencies include, but are not limited to, the department of labor and industries, the department of fish and wildlife, the department of agriculture, and the Washington state patrol.</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The appropriation is this section is subject to the following conditions and limitations:</w:t>
      </w:r>
    </w:p>
    <w:p>
      <w:pPr>
        <w:spacing w:before="0" w:after="0" w:line="408" w:lineRule="exact"/>
        <w:ind w:left="0" w:right="0" w:firstLine="576"/>
        <w:jc w:val="left"/>
      </w:pPr>
      <w:r>
        <w:rPr/>
        <w:t xml:space="preserve">(1) $950,000 of the appropriation is provided solely to help offset the higher project costs for one or more construction projects by state or local government agencies in which cross laminated timber (CLT) is used for major structural elements of the building. Eligible projects may include multifamily housing through the housing trust fund, student housing for public higher education campuses, prefabricated public school construction, and other state or local government agency projects that may demonstrate the structural utility of CLT. The legislature recognizes that early adoption of CLT may result in higher project costs, but accelerating the acceptance of CLT will produce economic and employment gains for the state and will increase the value of timber on Washington state trust lands. State agencies that receive allocations from this appropriation must submit a project completion report that specifies how CLT was used and the costs differences in materials and labor.</w:t>
      </w:r>
    </w:p>
    <w:p>
      <w:pPr>
        <w:spacing w:before="0" w:after="0" w:line="408" w:lineRule="exact"/>
        <w:ind w:left="0" w:right="0" w:firstLine="576"/>
        <w:jc w:val="left"/>
      </w:pPr>
      <w:r>
        <w:rPr/>
        <w:t xml:space="preserve">(2) $75,000 of the appropriation is provided solely for a grant to the Washington State University college of engineering and architecture, to prepare a review and summary of available engineering test results and other evidence demonstrating the performance of CLT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(3)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 to assist with the analysis.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intensified development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The military department must execute an agreement to transfer title of the property to the Central Pierce fire and rescue if the district agrees to use the facility as a fire and rescue station for a minimum of ten years. The transfer agreement must specify a mutually agreed transfer date following the vacation of the Puyallup armory. The transfer agreement must require the Central Pierce fire and rescue to cover any closing costs and must specify a purchase price of not less than $200,000. The agreement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UPS replacement (30000810)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$950,000 may be used for necessary renovations at the Maple Lane facility for the purpose of temporary forensic beds.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w:t>
      </w:r>
      <w:r>
        <w:rPr/>
        <w:t xml:space="preserve">: Psychiatric Intensive Care Unit and Competency Restoration (30002773)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 - Cascade: Remodel for Forensic Services (91000039)</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t>((</w:t>
      </w:r>
      <w:r>
        <w:rPr>
          <w:strike/>
        </w:rPr>
        <w:t xml:space="preserve">State Toxics Control Account</w:t>
      </w:r>
      <w:r>
        <w:rPr>
          <w:rFonts w:ascii="Times New Roman" w:hAnsi="Times New Roman"/>
          <w:strike/>
        </w:rPr>
        <w:t xml:space="preserve">—</w:t>
      </w:r>
      <w:r>
        <w:rPr>
          <w:strike/>
        </w:rPr>
        <w:t xml:space="preserve">State</w:t>
      </w:r>
      <w:r>
        <w:tab/>
      </w:r>
      <w:r>
        <w:rPr>
          <w:strike/>
        </w:rPr>
        <w:t xml:space="preserve">$570,000</w:t>
      </w:r>
      <w:r>
        <w:t>))</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$66,870,000</w:t>
      </w:r>
    </w:p>
    <w:p>
      <w:pPr>
        <w:spacing w:before="0" w:after="0" w:line="408" w:lineRule="exact"/>
        <w:ind w:left="0" w:right="0" w:firstLine="0"/>
        <w:jc w:val="left"/>
        <w:tabs>
          <w:tab w:val="right" w:leader="none" w:pos="9936"/>
        </w:tabs>
      </w:pPr>
      <w:r>
        <w:tab/>
      </w:r>
      <w:r>
        <w:rPr>
          <w:u w:val="single"/>
        </w:rPr>
        <w:t xml:space="preserve">$66,300,000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$41,198,000</w:t>
      </w:r>
    </w:p>
    <w:p>
      <w:pPr>
        <w:spacing w:before="0" w:after="0" w:line="408" w:lineRule="exact"/>
        <w:ind w:left="0" w:right="0" w:firstLine="0"/>
        <w:jc w:val="left"/>
        <w:tabs>
          <w:tab w:val="right" w:leader="none" w:pos="9936"/>
        </w:tabs>
      </w:pPr>
      <w:r>
        <w:tab/>
      </w:r>
      <w:r>
        <w:rPr>
          <w:u w:val="single"/>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$34,100,000</w:t>
      </w:r>
    </w:p>
    <w:p>
      <w:pPr>
        <w:spacing w:before="0" w:after="0" w:line="408" w:lineRule="exact"/>
        <w:ind w:left="0" w:right="0" w:firstLine="0"/>
        <w:jc w:val="left"/>
        <w:tabs>
          <w:tab w:val="right" w:leader="none" w:pos="9936"/>
        </w:tabs>
      </w:pPr>
      <w:r>
        <w:tab/>
      </w:r>
      <w:r>
        <w:rPr>
          <w:u w:val="single"/>
        </w:rPr>
        <w:t xml:space="preserve">$33,270,000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spacing w:before="0" w:after="0" w:line="408" w:lineRule="exact"/>
        <w:ind w:left="0" w:right="0" w:firstLine="0"/>
        <w:jc w:val="left"/>
        <w:tabs>
          <w:tab w:val="right" w:leader="none" w:pos="9936"/>
        </w:tabs>
      </w:pPr>
      <w:r>
        <w:tab/>
      </w:r>
      <w:r>
        <w:rPr>
          <w:u w:val="single"/>
        </w:rPr>
        <w:t xml:space="preserve">$4,634,000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$16,400,000</w:t>
      </w:r>
    </w:p>
    <w:p>
      <w:pPr>
        <w:spacing w:before="0" w:after="0" w:line="408" w:lineRule="exact"/>
        <w:ind w:left="0" w:right="0" w:firstLine="0"/>
        <w:jc w:val="left"/>
        <w:tabs>
          <w:tab w:val="right" w:leader="none" w:pos="9936"/>
        </w:tabs>
      </w:pPr>
      <w:r>
        <w:tab/>
      </w:r>
      <w:r>
        <w:rPr>
          <w:u w:val="single"/>
        </w:rPr>
        <w:t xml:space="preserve">$15,202,000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$30,000,000</w:t>
      </w:r>
    </w:p>
    <w:p>
      <w:pPr>
        <w:tabs>
          <w:tab w:val="right" w:leader="none" w:pos="9936"/>
        </w:tabs>
        <w:ind w:left="0" w:right="0" w:firstLine="1440"/>
      </w:pPr>
      <w:r>
        <w:tab/>
      </w:r>
      <w:r>
        <w:rPr>
          <w:u w:val="single"/>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$31,500,000</w:t>
      </w:r>
    </w:p>
    <w:p>
      <w:pPr>
        <w:spacing w:before="0" w:after="0" w:line="408" w:lineRule="exact"/>
        <w:ind w:left="0" w:right="0" w:firstLine="0"/>
        <w:jc w:val="left"/>
        <w:tabs>
          <w:tab w:val="right" w:leader="none" w:pos="9936"/>
        </w:tabs>
      </w:pPr>
      <w:r>
        <w:tab/>
      </w:r>
      <w:r>
        <w:rPr>
          <w:u w:val="single"/>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$10,300,000</w:t>
      </w:r>
    </w:p>
    <w:p>
      <w:pPr>
        <w:spacing w:before="0" w:after="0" w:line="408" w:lineRule="exact"/>
        <w:ind w:left="0" w:right="0" w:firstLine="0"/>
        <w:jc w:val="left"/>
        <w:tabs>
          <w:tab w:val="right" w:leader="none" w:pos="9936"/>
        </w:tabs>
      </w:pPr>
      <w:r>
        <w:tab/>
      </w:r>
      <w:r>
        <w:rPr>
          <w:u w:val="single"/>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0" w:after="0" w:line="408" w:lineRule="exact"/>
        <w:ind w:left="0" w:right="0" w:firstLine="576"/>
        <w:jc w:val="left"/>
      </w:pPr>
      <w:r>
        <w:rPr>
          <w:u w:val="single"/>
        </w:rPr>
        <w:t xml:space="preserve">(3) $1,500,000 of the state building construction account</w:t>
      </w:r>
      <w:r>
        <w:rPr>
          <w:rFonts w:ascii="Times New Roman" w:hAnsi="Times New Roman"/>
          <w:u w:val="single"/>
        </w:rPr>
        <w:t xml:space="preserve">—</w:t>
      </w:r>
      <w:r>
        <w:rPr>
          <w:u w:val="single"/>
        </w:rPr>
        <w:t xml:space="preserve">state is provided solely as state match for the federal section 319 grant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$302,250,000</w:t>
      </w:r>
    </w:p>
    <w:p>
      <w:pPr>
        <w:tabs>
          <w:tab w:val="right" w:leader="dot" w:pos="9936"/>
        </w:tabs>
        <w:ind w:left="0" w:right="0" w:firstLine="1440"/>
      </w:pPr>
      <w:r>
        <w:rPr/>
        <w:t xml:space="preserve">TOTAL</w:t>
      </w:r>
      <w:r>
        <w:tab/>
      </w:r>
      <w:r>
        <w:rPr>
          <w:strike/>
        </w:rPr>
        <w:t xml:space="preserve">$365,050,000</w:t>
      </w:r>
    </w:p>
    <w:p>
      <w:pPr>
        <w:spacing w:before="0" w:after="0" w:line="408" w:lineRule="exact"/>
        <w:ind w:left="0" w:right="0" w:firstLine="0"/>
        <w:jc w:val="left"/>
        <w:tabs>
          <w:tab w:val="right" w:leader="none" w:pos="9936"/>
        </w:tabs>
      </w:pPr>
      <w:r>
        <w:tab/>
      </w:r>
      <w:r>
        <w:rPr>
          <w:u w:val="single"/>
        </w:rPr>
        <w:t xml:space="preserve">$367,550,000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$26,600,000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$46,600,000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$326,600,000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strike/>
        </w:rPr>
        <w:t xml:space="preserve">$95,313,000</w:t>
      </w:r>
    </w:p>
    <w:p>
      <w:pPr>
        <w:tabs>
          <w:tab w:val="right" w:leader="none" w:pos="9936"/>
        </w:tabs>
        <w:ind w:left="0" w:right="0" w:firstLine="1440"/>
      </w:pPr>
      <w:r>
        <w:tab/>
      </w:r>
      <w:r>
        <w:rPr>
          <w:u w:val="single"/>
        </w:rPr>
        <w:t xml:space="preserve">$91,609,000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$24,073,000</w:t>
      </w:r>
    </w:p>
    <w:p>
      <w:pPr>
        <w:tabs>
          <w:tab w:val="right" w:leader="none" w:pos="9936"/>
        </w:tabs>
        <w:ind w:left="0" w:right="0" w:firstLine="1440"/>
      </w:pPr>
      <w:r>
        <w:tab/>
      </w:r>
      <w:r>
        <w:rPr>
          <w:u w:val="single"/>
        </w:rPr>
        <w:t xml:space="preserve">$22,073,000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$14,463,000</w:t>
      </w:r>
    </w:p>
    <w:p>
      <w:pPr>
        <w:tabs>
          <w:tab w:val="right" w:leader="none" w:pos="9936"/>
        </w:tabs>
        <w:ind w:left="0" w:right="0" w:firstLine="1440"/>
      </w:pPr>
      <w:r>
        <w:tab/>
      </w:r>
      <w:r>
        <w:rPr>
          <w:u w:val="single"/>
        </w:rPr>
        <w:t xml:space="preserve">$13,163,000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$64,056,000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$72,600,000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w:t>
      </w:r>
      <w:r>
        <w:t>((</w:t>
      </w:r>
      <w:r>
        <w:rPr>
          <w:strike/>
        </w:rPr>
        <w:t xml:space="preserve">(30000207)</w:t>
      </w:r>
      <w:r>
        <w:t>))</w:t>
      </w:r>
      <w:r>
        <w:rPr/>
        <w:t xml:space="preserve"> </w:t>
      </w:r>
      <w:r>
        <w:rPr>
          <w:u w:val="single"/>
        </w:rPr>
        <w:t xml:space="preserve">(30000222)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local match is not required for the Concrete water spray park project.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$7,533,000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appropriation in this section</w:t>
      </w:r>
      <w:r>
        <w:t>))</w:t>
      </w:r>
      <w:r>
        <w:rPr/>
        <w:t xml:space="preserve"> </w:t>
      </w:r>
      <w:r>
        <w:rPr>
          <w:u w:val="single"/>
        </w:rPr>
        <w:t xml:space="preserve">$3,000,000 of the state building construction account</w:t>
      </w:r>
      <w:r>
        <w:rPr>
          <w:rFonts w:ascii="Times New Roman" w:hAnsi="Times New Roman"/>
          <w:u w:val="single"/>
        </w:rPr>
        <w:t xml:space="preserve">—</w:t>
      </w:r>
      <w:r>
        <w:rPr>
          <w:u w:val="single"/>
        </w:rPr>
        <w:t xml:space="preserve">state appropriation</w:t>
      </w:r>
      <w:r>
        <w:rPr/>
        <w:t xml:space="preserve">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$74,500 of the firearms range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576"/>
        <w:jc w:val="left"/>
        <w:tabs>
          <w:tab w:val="right" w:leader="dot" w:pos="9936"/>
        </w:tabs>
      </w:pPr>
      <w:r>
        <w:rPr>
          <w:u w:val="single"/>
        </w:rPr>
        <w:t xml:space="preserve">Firearms Range Account</w:t>
      </w:r>
      <w:r>
        <w:rPr>
          <w:rFonts w:ascii="Times New Roman" w:hAnsi="Times New Roman"/>
          <w:u w:val="single"/>
        </w:rPr>
        <w:t xml:space="preserve">—</w:t>
      </w:r>
      <w:r>
        <w:rPr>
          <w:u w:val="single"/>
        </w:rPr>
        <w:t xml:space="preserve">State</w:t>
      </w:r>
      <w:r>
        <w:tab/>
      </w:r>
      <w:r>
        <w:rPr>
          <w:u w:val="single"/>
        </w:rPr>
        <w:t xml:space="preserve">$250,000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By June 30, 2017, the department of natural resources shall transfer to the state board for community and technical colleges the charitable, educational, penal and reformatory institution trust land currently leased to Green River Community College, South Seattle Community College-Georgetown campus, Grays Harbor Community College, and Highline Community College. The transfer documents must specify that the land be used for the educational purposes of the community and technical colleges and if the land ceases to be used for the educational purposes of the community and technical colleges the state board for community and technical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72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$388,129,000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w:t>
      </w:r>
      <w:r>
        <w:t>((</w:t>
      </w:r>
      <w:r>
        <w:rPr>
          <w:strike/>
        </w:rPr>
        <w:t xml:space="preserve">School districts receiving funding through the 2015-17 school construction assistance program must map the design of new facilities and remap the design of facilities to be remodeled.</w:t>
      </w:r>
      <w:r>
        <w:t>))</w:t>
      </w:r>
      <w:r>
        <w:rPr/>
        <w:t xml:space="preserve"> </w:t>
      </w:r>
      <w:r>
        <w:rPr>
          <w:u w:val="single"/>
        </w:rPr>
        <w:t xml:space="preserve">$1,282,648 of the common school construction account</w:t>
      </w:r>
      <w:r>
        <w:rPr>
          <w:rFonts w:ascii="Times New Roman" w:hAnsi="Times New Roman"/>
          <w:u w:val="single"/>
        </w:rPr>
        <w:t xml:space="preserve">—</w:t>
      </w:r>
      <w:r>
        <w:rPr>
          <w:u w:val="single"/>
        </w:rPr>
        <w:t xml:space="preserve">state appropriation is provided solely for the office of superintendent of public instruction to contract with the Washington association of sheriffs and police chiefs for mapping or remapping of school facilities.</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$320,021,000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$322,835,000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0" w:after="0" w:line="408" w:lineRule="exact"/>
        <w:ind w:left="0" w:right="0" w:firstLine="576"/>
        <w:jc w:val="left"/>
      </w:pPr>
      <w:r>
        <w:rPr>
          <w:u w:val="single"/>
        </w:rPr>
        <w:t xml:space="preserve">(6) School districts receiving grant funding in the first round must secure local matching funds by July 1, 2016. If local matching funds have not been secured by this date, the office of superintendent of public instruction may award the grant amounts without a secured local match to the remaining school districts in order of the K-3 class size reduction prioritized list.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joint legislative task force on school construction is established to review the following work underway:</w:t>
      </w:r>
    </w:p>
    <w:p>
      <w:pPr>
        <w:spacing w:before="0" w:after="0" w:line="408" w:lineRule="exact"/>
        <w:ind w:left="0" w:right="0" w:firstLine="576"/>
        <w:jc w:val="left"/>
      </w:pPr>
      <w:r>
        <w:rPr/>
        <w:t xml:space="preserve">(a) The status of implementing chapter 41, Laws of 2015 3rd sp.s. (2ESSB 6080), including recommendations for modifying the formula to fund K-3 classrooms;</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w:t>
      </w:r>
    </w:p>
    <w:p>
      <w:pPr>
        <w:spacing w:before="0" w:after="0" w:line="408" w:lineRule="exact"/>
        <w:ind w:left="0" w:right="0" w:firstLine="576"/>
        <w:jc w:val="left"/>
      </w:pPr>
      <w:r>
        <w:rPr/>
        <w:t xml:space="preserve">(2) The task force must consider the findings and results from subsection (1) of this section and all other information about the history of state assistance to help local school districts design, build, and maintain public schools to make recommendations on improvements in how that state assistance is provided. The improvements must be designed to provide:</w:t>
      </w:r>
    </w:p>
    <w:p>
      <w:pPr>
        <w:spacing w:before="0" w:after="0" w:line="408" w:lineRule="exact"/>
        <w:ind w:left="0" w:right="0" w:firstLine="576"/>
        <w:jc w:val="left"/>
      </w:pPr>
      <w:r>
        <w:rPr/>
        <w:t xml:space="preserve">(a) Grants for new schools based on prototypical schools tied to an assumed number of classrooms needed to match K-12 operating budget assumptions;</w:t>
      </w:r>
    </w:p>
    <w:p>
      <w:pPr>
        <w:spacing w:before="0" w:after="0" w:line="408" w:lineRule="exact"/>
        <w:ind w:left="0" w:right="0" w:firstLine="576"/>
        <w:jc w:val="left"/>
      </w:pPr>
      <w:r>
        <w:rPr/>
        <w:t xml:space="preserve">(b) Grants for additions to new schools to allow for incremental growth to meet enrollment growth;</w:t>
      </w:r>
    </w:p>
    <w:p>
      <w:pPr>
        <w:spacing w:before="0" w:after="0" w:line="408" w:lineRule="exact"/>
        <w:ind w:left="0" w:right="0" w:firstLine="576"/>
        <w:jc w:val="left"/>
      </w:pPr>
      <w:r>
        <w:rPr/>
        <w:t xml:space="preserve">(c) Grants for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(d) Grants for specialized facility improvements such as STEM facilities and vocational facilities such as skills centers;</w:t>
      </w:r>
    </w:p>
    <w:p>
      <w:pPr>
        <w:spacing w:before="0" w:after="0" w:line="408" w:lineRule="exact"/>
        <w:ind w:left="0" w:right="0" w:firstLine="576"/>
        <w:jc w:val="left"/>
      </w:pPr>
      <w:r>
        <w:rPr/>
        <w:t xml:space="preserve">(e) Equity in allocating grants for school construction such that the share of school construction costs reflects the relative ability to raise necessary property taxes to pay for the local share;</w:t>
      </w:r>
    </w:p>
    <w:p>
      <w:pPr>
        <w:spacing w:before="0" w:after="0" w:line="408" w:lineRule="exact"/>
        <w:ind w:left="0" w:right="0" w:firstLine="576"/>
        <w:jc w:val="left"/>
      </w:pPr>
      <w:r>
        <w:rPr/>
        <w:t xml:space="preserve">(f) Effective and efficient school design and construction; and</w:t>
      </w:r>
    </w:p>
    <w:p>
      <w:pPr>
        <w:spacing w:before="0" w:after="0" w:line="408" w:lineRule="exact"/>
        <w:ind w:left="0" w:right="0" w:firstLine="576"/>
        <w:jc w:val="left"/>
      </w:pPr>
      <w:r>
        <w:rPr/>
        <w:t xml:space="preserve">(g) Transparency when districts are proposing local bond issues and capital levies for school construction.</w:t>
      </w:r>
    </w:p>
    <w:p>
      <w:pPr>
        <w:spacing w:before="0" w:after="0" w:line="408" w:lineRule="exact"/>
        <w:ind w:left="0" w:right="0" w:firstLine="576"/>
        <w:jc w:val="left"/>
      </w:pPr>
      <w:r>
        <w:rPr/>
        <w:t xml:space="preserve">(3)(a) The joint legislative task force on school construction consists of eight members, two members each, one from each major caucus, from the house of representatives committees on capital budget and education, appointed by the speaker of the house of representatives, and two members each, one from each major caucus, from the senate committees on ways and means, early learning, and K-12 education, appointed by the president of the senate.</w:t>
      </w:r>
    </w:p>
    <w:p>
      <w:pPr>
        <w:spacing w:before="0" w:after="0" w:line="408" w:lineRule="exact"/>
        <w:ind w:left="0" w:right="0" w:firstLine="576"/>
        <w:jc w:val="left"/>
      </w:pPr>
      <w:r>
        <w:rPr/>
        <w:t xml:space="preserve">(b) The task force shall select a chair from among its membership.</w:t>
      </w:r>
    </w:p>
    <w:p>
      <w:pPr>
        <w:spacing w:before="0" w:after="0" w:line="408" w:lineRule="exact"/>
        <w:ind w:left="0" w:right="0" w:firstLine="576"/>
        <w:jc w:val="left"/>
      </w:pPr>
      <w:r>
        <w:rPr/>
        <w:t xml:space="preserve">(c)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(d) The office of superintendent of public instruction and the office of financial management shall cooperate with the task force and maintain liaison representatives.</w:t>
      </w:r>
    </w:p>
    <w:p>
      <w:pPr>
        <w:spacing w:before="0" w:after="0" w:line="408" w:lineRule="exact"/>
        <w:ind w:left="0" w:right="0" w:firstLine="576"/>
        <w:jc w:val="left"/>
      </w:pPr>
      <w:r>
        <w:rPr/>
        <w:t xml:space="preserve">(e) The task force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$1,836,000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5065 (uncodified) is amended to read as follows: </w:t>
      </w:r>
    </w:p>
    <w:p>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t>((</w:t>
      </w:r>
      <w:r>
        <w:rPr>
          <w:strike/>
        </w:rPr>
        <w:t xml:space="preserve">$56,041,000</w:t>
      </w:r>
      <w:r>
        <w:t>))</w:t>
      </w:r>
    </w:p>
    <w:p>
      <w:pPr>
        <w:spacing w:before="0" w:after="0" w:line="408" w:lineRule="exact"/>
        <w:ind w:left="0" w:right="0" w:firstLine="0"/>
        <w:jc w:val="left"/>
        <w:tabs>
          <w:tab w:val="right" w:leader="none" w:pos="9936"/>
        </w:tabs>
      </w:pPr>
      <w:r>
        <w:tab/>
      </w:r>
      <w:r>
        <w:rPr>
          <w:u w:val="single"/>
        </w:rPr>
        <w:t xml:space="preserve">$60,941,000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$61,041,000</w:t>
      </w:r>
    </w:p>
    <w:p>
      <w:pPr>
        <w:tabs>
          <w:tab w:val="right" w:leader="none" w:pos="9936"/>
        </w:tabs>
        <w:ind w:left="0" w:right="0" w:firstLine="1440"/>
      </w:pPr>
      <w:r>
        <w:tab/>
      </w:r>
      <w:r>
        <w:rPr>
          <w:u w:val="single"/>
        </w:rPr>
        <w:t xml:space="preserve">$65,941,000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Washington state historical society shall convene a team to develop and analyze options for the use or sale of the Lord Mansion and gardens located in the historic south capitol neighborhood in Olympia.</w:t>
      </w:r>
    </w:p>
    <w:p>
      <w:pPr>
        <w:spacing w:before="0" w:after="0" w:line="408" w:lineRule="exact"/>
        <w:ind w:left="0" w:right="0" w:firstLine="576"/>
        <w:jc w:val="left"/>
      </w:pPr>
      <w:r>
        <w:rPr/>
        <w:t xml:space="preserve">(1) Options for the use of the Lord Mansion should include, but not be limited to, display space for state historical materials, state and/or local government office space, private office space, small business incubator space, conference meeting rooms, and residential options. Selling the mansion must also be analyzed to determine the benefits and cost to the state and local government.</w:t>
      </w:r>
    </w:p>
    <w:p>
      <w:pPr>
        <w:spacing w:before="0" w:after="0" w:line="408" w:lineRule="exact"/>
        <w:ind w:left="0" w:right="0" w:firstLine="576"/>
        <w:jc w:val="left"/>
      </w:pPr>
      <w:r>
        <w:rPr/>
        <w:t xml:space="preserve">(2) The team must consist of the state historical society, the department of enterprise services, a former secretary of state, and the city of Olympia. Local stakeholders must be engaged before a final report is submitted to the office of financial management and the legislature. Appropriate staff from the office of financial management and legislative fiscal committees must be consulted on state fiscal implications.</w:t>
      </w:r>
    </w:p>
    <w:p>
      <w:pPr>
        <w:spacing w:before="0" w:after="0" w:line="408" w:lineRule="exact"/>
        <w:ind w:left="0" w:right="0" w:firstLine="576"/>
        <w:jc w:val="left"/>
      </w:pPr>
      <w:r>
        <w:rPr/>
        <w:t xml:space="preserve">(3) The Washington state historical society and the team convened under this section must report on the options analyzed and the specific analysis criteria and findings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fifty-four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In addition to the provisions of RCW 43.88.030, the office of financial management shall require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at the earliest time possible and must be completed before funding may be allocated for any part of the project including but not limited to: Design, demolition of existing facilities, site preparation or construction and includes projects using a design-build construction model. The life cycle cost analysis must be performed by the office of financial management or the department of enterprise services and must be performed in a transparent manner with all stakeholders entitled to participate. All results of the life cycle cost analysis must be verified by an independent real estate industry consultant. Funding for the life cycle cost analysis must also include funding for review by real estate industry consultants. Included in the life cycle cost analysis and in reporting the cost per square foot, the agencies must include all moneys relating to the development of the project including but not limited to: (1) Predesign; (2) design; (3) consultants; (4) demolition; (5) construction moving costs; (6) tenant relocation costs; (7) parking costs; (8) ongoing maintenance; (9) future capital improvements expected during the term of the lease or building ownership including but not limited to: Windows, carpet, heating, ventilation and air conditioning system replacement, and painting; (10) the economic value and impact of local property taxes; (11) value of the land; and (12) other related costs by both state-owned and privately-owned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$26,000,000</w:t>
      </w:r>
      <w:r>
        <w:rPr/>
        <w:t xml:space="preserve">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rPr/>
        <w:t xml:space="preserve">(1) </w:t>
      </w:r>
      <w:r>
        <w:rPr/>
        <w:t xml:space="preserve">2015 3rd sp.s. c 3 s 1072</w:t>
      </w:r>
      <w:r>
        <w:rPr/>
        <w:t xml:space="preserve"> (uncodified); and</w:t>
      </w:r>
    </w:p>
    <w:p>
      <w:pPr>
        <w:spacing w:before="0" w:after="0" w:line="408" w:lineRule="exact"/>
        <w:ind w:left="0" w:right="0" w:firstLine="576"/>
        <w:jc w:val="left"/>
      </w:pPr>
      <w:r>
        <w:rPr/>
        <w:t xml:space="preserve">(2) </w:t>
      </w:r>
      <w:r>
        <w:rPr/>
        <w:t xml:space="preserve">2015 3rd sp.s. c 3 s 5074</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008ee4300d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c9306e3d34578" /><Relationship Type="http://schemas.openxmlformats.org/officeDocument/2006/relationships/footer" Target="/word/footer.xml" Id="R54008ee4300d4cba" /></Relationships>
</file>