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51b303aa2348c7" /></Relationships>
</file>

<file path=word/document.xml><?xml version="1.0" encoding="utf-8"?>
<w:document xmlns:w="http://schemas.openxmlformats.org/wordprocessingml/2006/main">
  <w:body>
    <w:p>
      <w:r>
        <w:t>S-3811.1</w:t>
      </w:r>
    </w:p>
    <w:p>
      <w:pPr>
        <w:jc w:val="center"/>
      </w:pPr>
      <w:r>
        <w:t>_______________________________________________</w:t>
      </w:r>
    </w:p>
    <w:p/>
    <w:p>
      <w:pPr>
        <w:jc w:val="center"/>
      </w:pPr>
      <w:r>
        <w:rPr>
          <w:b/>
        </w:rPr>
        <w:t>SENATE BILL 6327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Keiser, Nelson, Conway, Mullet, and Dammeier</w:t>
      </w:r>
    </w:p>
    <w:p/>
    <w:p>
      <w:r>
        <w:rPr>
          <w:t xml:space="preserve">Read first time 01/15/16.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living in his or her residence.</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adopt and maintain written discharge policies. The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An opportunity for the patient to authorize disclosure of medical information to the patient's designated lay caregiver</w:t>
      </w:r>
    </w:p>
    <w:p>
      <w:pPr>
        <w:spacing w:before="0" w:after="0" w:line="408" w:lineRule="exact"/>
        <w:ind w:left="0" w:right="0" w:firstLine="0"/>
        <w:jc w:val="left"/>
      </w:pPr>
      <w:r>
        <w:rPr/>
        <w:t xml:space="preserve">following the hospital's established procedures for releasing personal health information and in compliance with all federal and state laws, including chapter 70.02 RCW and the federal health insurance portability and accountability act of 1996 and related regulations;</w:t>
      </w:r>
    </w:p>
    <w:p>
      <w:pPr>
        <w:spacing w:before="0" w:after="0" w:line="408" w:lineRule="exact"/>
        <w:ind w:left="0" w:right="0" w:firstLine="576"/>
        <w:jc w:val="left"/>
      </w:pPr>
      <w:r>
        <w:rPr/>
        <w:t xml:space="preserve">(e) Documentation of any designated lay caregiver's contact information;</w:t>
      </w:r>
    </w:p>
    <w:p>
      <w:pPr>
        <w:spacing w:before="0" w:after="0" w:line="408" w:lineRule="exact"/>
        <w:ind w:left="0" w:right="0" w:firstLine="576"/>
        <w:jc w:val="left"/>
      </w:pPr>
      <w:r>
        <w:rPr/>
        <w:t xml:space="preserve">(f) A description of aftercare tasks necessary to promote the patient's ability to stay at home;</w:t>
      </w:r>
    </w:p>
    <w:p>
      <w:pPr>
        <w:spacing w:before="0" w:after="0" w:line="408" w:lineRule="exact"/>
        <w:ind w:left="0" w:right="0" w:firstLine="576"/>
        <w:jc w:val="left"/>
      </w:pPr>
      <w:r>
        <w:rPr/>
        <w:t xml:space="preserve">(g) An opportunity for the patient and, if designated, the patient's lay caregiver to participate in the discharge planning;</w:t>
      </w:r>
    </w:p>
    <w:p>
      <w:pPr>
        <w:spacing w:before="0" w:after="0" w:line="408" w:lineRule="exact"/>
        <w:ind w:left="0" w:right="0" w:firstLine="576"/>
        <w:jc w:val="left"/>
      </w:pPr>
      <w:r>
        <w:rPr/>
        <w:t xml:space="preserve">(h)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(i) Notification to a lay caregiver, if designated, of the patient's discharge or transfer.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by section 1 of this act;</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and appropriate members of the health care team</w:t>
      </w:r>
      <w:r>
        <w:rPr>
          <w:u w:val="single"/>
        </w:rPr>
        <w:t xml:space="preserve">, subject to section 2 of this act</w:t>
      </w:r>
      <w:r>
        <w:rPr/>
        <w:t xml:space="preserve">;</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and</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NumType w:start="1"/>
      <w:footerReference xmlns:r="http://schemas.openxmlformats.org/officeDocument/2006/relationships" r:id="R8199372c4d7846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76b0704bc04509" /><Relationship Type="http://schemas.openxmlformats.org/officeDocument/2006/relationships/footer" Target="/word/footer.xml" Id="R8199372c4d78466b" /></Relationships>
</file>