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0e9d1d8e34e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6349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and Mullet; by request of State Treasurer</w:t>
      </w:r>
    </w:p>
    <w:p/>
    <w:p>
      <w:r>
        <w:rPr>
          <w:t xml:space="preserve">Read first time 01/18/16.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and 39.58.155; and repealing RCW 39.58.120 and 39.58.045.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 which</w:t>
      </w:r>
      <w:r>
        <w:t>))</w:t>
      </w:r>
      <w:r>
        <w:rPr/>
        <w:t xml:space="preserve"> </w:t>
      </w:r>
      <w:r>
        <w:rPr>
          <w:u w:val="single"/>
        </w:rPr>
        <w:t xml:space="preserve">that</w:t>
      </w:r>
      <w:r>
        <w:rPr/>
        <w:t xml:space="preserve"> has been approved by the commission to hold public deposits, </w:t>
      </w:r>
      <w:r>
        <w:t>((</w:t>
      </w:r>
      <w:r>
        <w:rPr>
          <w:strike/>
        </w:rPr>
        <w:t xml:space="preserve">and which</w:t>
      </w:r>
      <w:r>
        <w:t>))</w:t>
      </w:r>
      <w:r>
        <w:rPr/>
        <w:t xml:space="preserve"> has segregated</w:t>
      </w:r>
      <w:r>
        <w:rPr>
          <w:u w:val="single"/>
        </w:rPr>
        <w:t xml:space="preserve">,</w:t>
      </w:r>
      <w:r>
        <w:rPr/>
        <w:t xml:space="preserve"> for the benefit of the commission</w:t>
      </w:r>
      <w:r>
        <w:rPr>
          <w:u w:val="single"/>
        </w:rPr>
        <w:t xml:space="preserve">,</w:t>
      </w:r>
      <w:r>
        <w:rPr/>
        <w:t xml:space="preserve"> eligible collateral having a value of not less than its maximum liability</w:t>
      </w:r>
      <w:r>
        <w:rPr>
          <w:u w:val="single"/>
        </w:rPr>
        <w:t xml:space="preserve">, and, unless otherwise provided for in this chapter, does not claim exemption from the payment of any sales or compensating use or ad valorem taxes under the laws of this state</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
      <w:pPr>
        <w:jc w:val="center"/>
      </w:pPr>
      <w:r>
        <w:rPr>
          <w:b/>
        </w:rPr>
        <w:t>--- END ---</w:t>
      </w:r>
    </w:p>
    <w:sectPr>
      <w:pgNumType w:start="1"/>
      <w:footerReference xmlns:r="http://schemas.openxmlformats.org/officeDocument/2006/relationships" r:id="R1d49664b016441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4aef20fd1d4090" /><Relationship Type="http://schemas.openxmlformats.org/officeDocument/2006/relationships/footer" Target="/word/footer.xml" Id="R1d49664b01644187" /></Relationships>
</file>