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cdbec738d4790" /></Relationships>
</file>

<file path=word/document.xml><?xml version="1.0" encoding="utf-8"?>
<w:document xmlns:w="http://schemas.openxmlformats.org/wordprocessingml/2006/main">
  <w:body>
    <w:p>
      <w:r>
        <w:t>S-4450.1</w:t>
      </w:r>
    </w:p>
    <w:p>
      <w:pPr>
        <w:jc w:val="center"/>
      </w:pPr>
      <w:r>
        <w:t>_______________________________________________</w:t>
      </w:r>
    </w:p>
    <w:p/>
    <w:p>
      <w:pPr>
        <w:jc w:val="center"/>
      </w:pPr>
      <w:r>
        <w:rPr>
          <w:b/>
        </w:rPr>
        <w:t>SUBSTITUTE SENATE BILL 6440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Cleveland, Becker, Rolfes, Warnick, Bailey, Miloscia, Nelson, Angel, Brown, Rivers, Frockt, Dammeier, O'Ban, King, Litzow, Hewitt, Fraser, Liias, Billig, Pedersen, Darneille, McCoy, Jayapal, Habib, Benton, Chase, and Hasegawa)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banning flame retardants that impact children and firefighters; and adding a new section to chapter 70.240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240</w:t>
      </w:r>
      <w:r>
        <w:rPr/>
        <w:t xml:space="preserve"> RCW</w:t>
      </w:r>
      <w:r>
        <w:rPr/>
        <w:t xml:space="preserve"> to read as follows:</w:t>
      </w:r>
    </w:p>
    <w:p>
      <w:pPr>
        <w:spacing w:before="0" w:after="0" w:line="408" w:lineRule="exact"/>
        <w:ind w:left="0" w:right="0" w:firstLine="576"/>
        <w:jc w:val="left"/>
      </w:pPr>
      <w:r>
        <w:rPr/>
        <w:t xml:space="preserve">Beginning July 1, 2017, no manufacturer, wholesaler, or retailer may manufacture, knowingly sell, offer for sale, distribute for sale, or distribute for use in this state children's products, as defined in RCW 70.240.010,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
      <w:pPr>
        <w:jc w:val="center"/>
      </w:pPr>
      <w:r>
        <w:rPr>
          <w:b/>
        </w:rPr>
        <w:t>--- END ---</w:t>
      </w:r>
    </w:p>
    <w:sectPr>
      <w:pgNumType w:start="1"/>
      <w:footerReference xmlns:r="http://schemas.openxmlformats.org/officeDocument/2006/relationships" r:id="R140dba7990fb46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c2f8d6119e4085" /><Relationship Type="http://schemas.openxmlformats.org/officeDocument/2006/relationships/footer" Target="/word/footer.xml" Id="R140dba7990fb469d" /></Relationships>
</file>