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a01f8a6b0d44aa" /></Relationships>
</file>

<file path=word/document.xml><?xml version="1.0" encoding="utf-8"?>
<w:document xmlns:w="http://schemas.openxmlformats.org/wordprocessingml/2006/main">
  <w:body>
    <w:p>
      <w:r>
        <w:t>S-3939.4</w:t>
      </w:r>
    </w:p>
    <w:p>
      <w:pPr>
        <w:jc w:val="center"/>
      </w:pPr>
      <w:r>
        <w:t>_______________________________________________</w:t>
      </w:r>
    </w:p>
    <w:p/>
    <w:p>
      <w:pPr>
        <w:jc w:val="center"/>
      </w:pPr>
      <w:r>
        <w:rPr>
          <w:b/>
        </w:rPr>
        <w:t>SENATE BILL 6497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Hargrove, O'Ban, Darneille, Miloscia, Litzow, McAuliffe, and Conway</w:t>
      </w:r>
    </w:p>
    <w:p/>
    <w:p>
      <w:r>
        <w:rPr>
          <w:t xml:space="preserve">Read first time 01/22/16.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intervention and prevention efforts to promote attendance and reduce truancy; amending RCW 28A.225.005, 28A.225.020, 28A.225.025, 28A.225.030, 28A.225.035, 28A.225.090, 43.185C.315, 43.185C.320, 28A.165.005, 28A.165.035, and 28A.655.235; adding a new section to chapter 28A.225 RCW; adding a new section to chapter 43.185C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children and youth in Washington state are entitled to a basic education and to an equal opportunity to learn. The legislature recognizes that there are many causes of truancy and that truancy is an indicator of future school dropout and delinquent behavior. The legislature recognizes that early engagement of parents in the education process is an important measure in preventing truancy. It is the intent of the legislature to encourage the systematic identification of truant behavior as early as possible and to encourage the use of best practices and evidence-based interventions to reduce truant behavior in every school in Washington state. The legislature intends that schools, parents, juvenile courts, and communities share resources within and across school districts where possible to enhance the availability of best practices and evidence-based intervention for truant children and youth.</w:t>
      </w:r>
    </w:p>
    <w:p>
      <w:pPr>
        <w:spacing w:before="0" w:after="0" w:line="408" w:lineRule="exact"/>
        <w:ind w:left="0" w:right="0" w:firstLine="576"/>
        <w:jc w:val="left"/>
      </w:pPr>
      <w:r>
        <w:rPr/>
        <w:t xml:space="preserve">By taking a three-pronged approach and providing additional tools to schools, courts, communities, and families, the legislature hopes to reduce excessive absenteeism, strengthen family engagement with schools, involve communities, promote academic achievement, reduce educational opportunity gaps,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prevention and intervention and that regularly stay truancy petitions in order to first allow these boards to identify barriers to school attendance, cooperatively solve problems, and connect students and their families with needed community-based services.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community truancy boards and to employ other best practices, including the provision of training for board members and other school and court personnel on trauma-informed approaches to discipline,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w:t>
      </w:r>
    </w:p>
    <w:p>
      <w:pPr>
        <w:spacing w:before="0" w:after="0" w:line="408" w:lineRule="exact"/>
        <w:ind w:left="0" w:right="0" w:firstLine="576"/>
        <w:jc w:val="left"/>
      </w:pPr>
      <w:r>
        <w:rPr/>
        <w:t xml:space="preserve">Third, the legislature recognizes that there are instances in which individual barriers to school attendance that have led to truancy may be best addressed by providing access to a bed in a HOPE center. The legislature further recognizes that even when a truant student is found in contempt of a court order to attend school, it is best practice that the truant student not be placed in juvenile detention but, where feasible and available, instead be placed in a crisis residential center. The legislature intends to increase the number of beds in HOPE centers and crisis residential centers in order to facilitate their use for truant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Reasonable efforts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To satisfy the requirements of this section, the conference must include at least one school district employee who is a nurse, counselor, social worker,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2009 c 266 s 1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w:t>
      </w:r>
      <w:r>
        <w:t>((</w:t>
      </w:r>
      <w:r>
        <w:rPr>
          <w:strike/>
        </w:rPr>
        <w:t xml:space="preserve">custodial</w:t>
      </w:r>
      <w:r>
        <w:t>))</w:t>
      </w:r>
      <w:r>
        <w:rPr/>
        <w:t xml:space="preserve"> parent</w:t>
      </w:r>
      <w:r>
        <w:t>((</w:t>
      </w:r>
      <w:r>
        <w:rPr>
          <w:strike/>
        </w:rPr>
        <w:t xml:space="preserve">, parents, or guardian</w:t>
      </w:r>
      <w:r>
        <w:t>))</w:t>
      </w:r>
      <w:r>
        <w:rPr/>
        <w:t xml:space="preserve"> by a notice in writing or by telephone whenever the child has failed to attend school after one unexcused absence within any month during the current school year. School officials shall inform the parent of the potential consequences of additional unexcused absences. If the </w:t>
      </w:r>
      <w:r>
        <w:t>((</w:t>
      </w:r>
      <w:r>
        <w:rPr>
          <w:strike/>
        </w:rPr>
        <w:t xml:space="preserve">custodial</w:t>
      </w:r>
      <w:r>
        <w:t>))</w:t>
      </w:r>
      <w:r>
        <w:rPr/>
        <w:t xml:space="preserve"> parent</w:t>
      </w:r>
      <w:r>
        <w:t>((</w:t>
      </w:r>
      <w:r>
        <w:rPr>
          <w:strike/>
        </w:rPr>
        <w:t xml:space="preserve">, parents, or guardian</w:t>
      </w:r>
      <w:r>
        <w:t>))</w:t>
      </w:r>
      <w:r>
        <w:rPr/>
        <w:t xml:space="preserve"> is not fluent in English, the </w:t>
      </w:r>
      <w:r>
        <w:t>((</w:t>
      </w:r>
      <w:r>
        <w:rPr>
          <w:strike/>
        </w:rPr>
        <w:t xml:space="preserve">preferred practice is to</w:t>
      </w:r>
      <w:r>
        <w:t>))</w:t>
      </w:r>
      <w:r>
        <w:rPr/>
        <w:t xml:space="preserve"> </w:t>
      </w:r>
      <w:r>
        <w:rPr>
          <w:u w:val="single"/>
        </w:rPr>
        <w:t xml:space="preserve">school must make reasonable efforts to</w:t>
      </w:r>
      <w:r>
        <w:rPr/>
        <w:t xml:space="preserve"> provide this information in a language in which the </w:t>
      </w:r>
      <w:r>
        <w:t>((</w:t>
      </w:r>
      <w:r>
        <w:rPr>
          <w:strike/>
        </w:rPr>
        <w:t xml:space="preserve">custodial</w:t>
      </w:r>
      <w:r>
        <w:t>))</w:t>
      </w:r>
      <w:r>
        <w:rPr/>
        <w:t xml:space="preserve"> parent</w:t>
      </w:r>
      <w:r>
        <w:t>((</w:t>
      </w:r>
      <w:r>
        <w:rPr>
          <w:strike/>
        </w:rPr>
        <w:t xml:space="preserve">, parents, or guardian</w:t>
      </w:r>
      <w:r>
        <w:t>))</w:t>
      </w:r>
      <w:r>
        <w:rPr/>
        <w:t xml:space="preserve"> is fluent;</w:t>
      </w:r>
    </w:p>
    <w:p>
      <w:pPr>
        <w:spacing w:before="0" w:after="0" w:line="408" w:lineRule="exact"/>
        <w:ind w:left="0" w:right="0" w:firstLine="576"/>
        <w:jc w:val="left"/>
      </w:pPr>
      <w:r>
        <w:rPr/>
        <w:t xml:space="preserve">(b) Schedule a conference or conferences with the </w:t>
      </w:r>
      <w:r>
        <w:t>((</w:t>
      </w:r>
      <w:r>
        <w:rPr>
          <w:strike/>
        </w:rPr>
        <w:t xml:space="preserve">custodial</w:t>
      </w:r>
      <w:r>
        <w:t>))</w:t>
      </w:r>
      <w:r>
        <w:rPr/>
        <w:t xml:space="preserve"> parent</w:t>
      </w:r>
      <w:r>
        <w:t>((</w:t>
      </w:r>
      <w:r>
        <w:rPr>
          <w:strike/>
        </w:rPr>
        <w:t xml:space="preserve">, parents, or guardian</w:t>
      </w:r>
      <w:r>
        <w:t>))</w:t>
      </w:r>
      <w:r>
        <w:rPr/>
        <w:t xml:space="preserve">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w:t>
      </w:r>
      <w:r>
        <w:rPr>
          <w:u w:val="single"/>
        </w:rPr>
        <w:t xml:space="preserve">data-informed</w:t>
      </w:r>
      <w:r>
        <w:rPr/>
        <w:t xml:space="preserve"> steps to eliminate or reduce the child's absences. These steps shall include </w:t>
      </w:r>
      <w:r>
        <w:rPr>
          <w:u w:val="single"/>
        </w:rPr>
        <w:t xml:space="preserve">the use of the Washington assessment of the risks and needs of students (WARNS)</w:t>
      </w:r>
      <w:r>
        <w:rPr/>
        <w:t xml:space="preserve">, </w:t>
      </w:r>
      <w:r>
        <w:rPr>
          <w:u w:val="single"/>
        </w:rPr>
        <w:t xml:space="preserve">and</w:t>
      </w:r>
      <w:r>
        <w:rPr/>
        <w:t xml:space="preserve"> where appropriate, </w:t>
      </w:r>
      <w:r>
        <w:rPr>
          <w:u w:val="single"/>
        </w:rPr>
        <w:t xml:space="preserve">providing an available approved best practice or research-based intervention, or both, consistent with the WARNS profile,</w:t>
      </w:r>
      <w:r>
        <w:rPr/>
        <w:t xml:space="preserve"> adjusting the child's school program or school or course assignment, providing more individualized or remedial instruction, providing appropriate vocational courses or work experience, referring the child to a community truancy board, </w:t>
      </w:r>
      <w:r>
        <w:t>((</w:t>
      </w:r>
      <w:r>
        <w:rPr>
          <w:strike/>
        </w:rPr>
        <w:t xml:space="preserve">if available,</w:t>
      </w:r>
      <w:r>
        <w:t>))</w:t>
      </w:r>
      <w:r>
        <w:rPr/>
        <w:t xml:space="preserve">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w:t>
      </w:r>
      <w:r>
        <w:rPr/>
        <w:t xml:space="preserve">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w:t>
      </w:r>
      <w:r>
        <w:rPr>
          <w:u w:val="single"/>
        </w:rPr>
        <w:t xml:space="preserve">, along with a copy of any previous assessment as required under subsection (1)(c) of this section, history of any best practices or researched-based intervention previously provided to the child by the child's current school district, and a copy of the most dated truancy information inclusive of online or written acknowledgment by the parent and child, as provided for in RCW 28A.225.005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composed of members of the local community in which the child attends school. </w:t>
      </w:r>
      <w:r>
        <w:t>((</w:t>
      </w:r>
      <w:r>
        <w:rPr>
          <w:strike/>
        </w:rPr>
        <w:t xml:space="preserve">Juvenile courts may establish and operate community truancy boards. If the juvenile court and the school district agree, a school district may</w:t>
      </w:r>
      <w:r>
        <w:t>))</w:t>
      </w:r>
      <w:r>
        <w:rPr/>
        <w:t xml:space="preserve"> </w:t>
      </w:r>
      <w:r>
        <w:rPr>
          <w:u w:val="single"/>
        </w:rPr>
        <w:t xml:space="preserve">All members of a community truancy board must receive training regarding the identification of barriers to school attendance, the use of the Washington assessment of the risks and needs of students (WARNS) or other assessment tools to identify the specific needs of individual children, trauma-informed approaches to discipline, evidence-based treatments that have been found effective in supporting at-risk youth and their families, and the specific services and treatment available in the particular school, court, community, and elsewhere. Pursuant to a memorandum of understanding between a school district and a juvenile court, all school districts must</w:t>
      </w:r>
      <w:r>
        <w:rPr/>
        <w:t xml:space="preserve"> establish and operate a community truancy board under the jurisdiction of the juvenile court. </w:t>
      </w:r>
      <w:r>
        <w:t>((</w:t>
      </w:r>
      <w:r>
        <w:rPr>
          <w:strike/>
        </w:rPr>
        <w:t xml:space="preserve">Juvenile courts may create a community truancy board or may use other entities that exist or are created, such as diversion units. However, a diversion unit or other existing entity must agree before it is used as a truancy board.</w:t>
      </w:r>
      <w:r>
        <w:t>))</w:t>
      </w:r>
      <w:r>
        <w:rPr/>
        <w:t xml:space="preserve"> Duties of a community truancy board shall include, but not be limited to</w:t>
      </w:r>
      <w:r>
        <w:rPr>
          <w:u w:val="single"/>
        </w:rPr>
        <w:t xml:space="preserve">: Identifying barriers to school attendance</w:t>
      </w:r>
      <w:r>
        <w:rPr/>
        <w:t xml:space="preserve">, recommending methods for improving </w:t>
      </w:r>
      <w:r>
        <w:t>((</w:t>
      </w:r>
      <w:r>
        <w:rPr>
          <w:strike/>
        </w:rPr>
        <w:t xml:space="preserve">school</w:t>
      </w:r>
      <w:r>
        <w:t>))</w:t>
      </w:r>
      <w:r>
        <w:rPr/>
        <w:t xml:space="preserve"> attendance such as </w:t>
      </w:r>
      <w:r>
        <w:t>((</w:t>
      </w:r>
      <w:r>
        <w:rPr>
          <w:strike/>
        </w:rPr>
        <w:t xml:space="preserve">assisting the parent or the child to obtain supplementary services that might eliminate or ameliorate the causes for the absences or</w:t>
      </w:r>
      <w:r>
        <w:t>))</w:t>
      </w:r>
      <w:r>
        <w:rPr/>
        <w:t xml:space="preserve"> </w:t>
      </w:r>
      <w:r>
        <w:rPr>
          <w:u w:val="single"/>
        </w:rPr>
        <w:t xml:space="preserve">connecting students and their families with community services and evidence-based services such as functional family therapy, multisystemic therapy, and aggression replacement training,</w:t>
      </w:r>
      <w:r>
        <w:rPr/>
        <w:t xml:space="preserve"> suggesting to the school district that the child enroll in another school, an alternative education program, an education center, a skill center, a dropout prevention program, or another public or private educational program</w:t>
      </w:r>
      <w:r>
        <w:rPr>
          <w:u w:val="single"/>
        </w:rPr>
        <w:t xml:space="preserve">, or referring a child to a HOPE center</w:t>
      </w:r>
      <w:r>
        <w:rPr/>
        <w:t xml:space="preserve">.</w:t>
      </w:r>
    </w:p>
    <w:p>
      <w:pPr>
        <w:spacing w:before="0" w:after="0" w:line="408" w:lineRule="exact"/>
        <w:ind w:left="0" w:right="0" w:firstLine="576"/>
        <w:jc w:val="left"/>
      </w:pPr>
      <w:r>
        <w:rPr/>
        <w:t xml:space="preserve">(2) The legislature finds that utilization of community truancy boards</w:t>
      </w:r>
      <w:r>
        <w:t>((</w:t>
      </w:r>
      <w:r>
        <w:rPr>
          <w:strike/>
        </w:rPr>
        <w:t xml:space="preserve">, or other diversion units that fulfill a similar function,</w:t>
      </w:r>
      <w:r>
        <w:t>))</w:t>
      </w:r>
      <w:r>
        <w:rPr/>
        <w:t xml:space="preserve"> is the preferred means of intervention when preliminary methods </w:t>
      </w:r>
      <w:r>
        <w:t>((</w:t>
      </w:r>
      <w:r>
        <w:rPr>
          <w:strike/>
        </w:rPr>
        <w:t xml:space="preserve">of notice and parent conferences and taking appropriate steps</w:t>
      </w:r>
      <w:r>
        <w:t>))</w:t>
      </w:r>
      <w:r>
        <w:rPr/>
        <w:t xml:space="preserve"> to eliminate or reduce unexcused absences have not been effective in securing the child's attendance at school. The legislature intends to encourage and support the development and expansion of community truancy boards </w:t>
      </w:r>
      <w:r>
        <w:t>((</w:t>
      </w:r>
      <w:r>
        <w:rPr>
          <w:strike/>
        </w:rPr>
        <w:t xml:space="preserve">and other diversion programs which are effective in promoting school attendance and preventing the need for more intrusive intervention by the court</w:t>
      </w:r>
      <w:r>
        <w:t>))</w:t>
      </w:r>
      <w:r>
        <w:rPr/>
        <w:t xml:space="preserve">. </w:t>
      </w:r>
      <w:r>
        <w:rPr>
          <w:u w:val="single"/>
        </w:rPr>
        <w:t xml:space="preserve">All school districts must establish a community truancy board by August 1, 2017.</w:t>
      </w:r>
      <w:r>
        <w:rPr/>
        <w:t xml:space="preserve">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2012 c 157 s 1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w:t>
      </w:r>
      <w:r>
        <w:rPr>
          <w:u w:val="single"/>
        </w:rPr>
        <w:t xml:space="preserve">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signed by the parent and child, pursuant to RCW 28A.225.005.</w:t>
      </w:r>
      <w:r>
        <w:rPr/>
        <w:t xml:space="preserve">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w:t>
      </w:r>
      <w:r>
        <w:t>((</w:t>
      </w:r>
      <w:r>
        <w:rPr>
          <w:strike/>
        </w:rPr>
        <w:t xml:space="preserve">, if available,</w:t>
      </w:r>
      <w:r>
        <w:t>))</w:t>
      </w:r>
      <w:r>
        <w:rPr/>
        <w:t xml:space="preserve">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w:t>
      </w:r>
      <w:r>
        <w:rPr>
          <w:u w:val="single"/>
        </w:rPr>
        <w:t xml:space="preserve">as described in RCW 28A.225.030(1)</w:t>
      </w:r>
      <w:r>
        <w:rPr/>
        <w:t xml:space="preserve">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t>
      </w:r>
      <w:r>
        <w:t>((</w:t>
      </w:r>
      <w:r>
        <w:rPr>
          <w:strike/>
        </w:rPr>
        <w:t xml:space="preserve">whether</w:t>
      </w:r>
      <w:r>
        <w:t>))</w:t>
      </w:r>
      <w:r>
        <w:rPr/>
        <w:t xml:space="preserve"> the </w:t>
      </w:r>
      <w:r>
        <w:rPr>
          <w:u w:val="single"/>
        </w:rPr>
        <w:t xml:space="preserve">languages in which the</w:t>
      </w:r>
      <w:r>
        <w:rPr/>
        <w:t xml:space="preserve"> child and parent are fluent </w:t>
      </w:r>
      <w:r>
        <w:t>((</w:t>
      </w:r>
      <w:r>
        <w:rPr>
          <w:strike/>
        </w:rPr>
        <w:t xml:space="preserve">in English</w:t>
      </w:r>
      <w:r>
        <w:t>))</w:t>
      </w:r>
      <w:r>
        <w:rPr/>
        <w:t xml:space="preserve">,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rPr>
          <w:u w:val="single"/>
        </w:rPr>
        <w:t xml:space="preserve">it shall initially be stayed by the juvenile court.</w:t>
      </w:r>
    </w:p>
    <w:p>
      <w:pPr>
        <w:spacing w:before="0" w:after="0" w:line="408" w:lineRule="exact"/>
        <w:ind w:left="0" w:right="0" w:firstLine="576"/>
        <w:jc w:val="left"/>
      </w:pPr>
      <w:r>
        <w:rPr>
          <w:u w:val="single"/>
        </w:rPr>
        <w:t xml:space="preserve">(b) By August 1, 2017, the child and the child's parent must be referred to a community truancy board as described in RCW 28A.225.025.</w:t>
      </w:r>
    </w:p>
    <w:p>
      <w:pPr>
        <w:spacing w:before="0" w:after="0" w:line="408" w:lineRule="exact"/>
        <w:ind w:left="0" w:right="0" w:firstLine="576"/>
        <w:jc w:val="left"/>
      </w:pPr>
      <w:r>
        <w:rPr>
          <w:u w:val="single"/>
        </w:rPr>
        <w:t xml:space="preserve">(c) Between August 1, 2016, and July 31, 2017, intervention and prevention efforts </w:t>
      </w:r>
      <w:r>
        <w:rPr>
          <w:u w:val="single"/>
        </w:rPr>
        <w:t xml:space="preserve">must be</w:t>
      </w:r>
      <w:r>
        <w:rPr>
          <w:u w:val="single"/>
        </w:rPr>
        <w:t xml:space="preserve"> employed to substantially reduce the child's unexcused absences. Intervention and prevention efforts under this subsection may include referral to an existing community truancy board, use of the Washington assessment of the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 The school district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u w:val="single"/>
        </w:rPr>
        <w:t xml:space="preserve">(d) If intervention and prevention efforts under this subsection are unsuccessful at substantially reducing the child's unexcused absences within the time frame set by the school district, the stay shall be lifted and</w:t>
      </w:r>
      <w:r>
        <w:rPr/>
        <w:t xml:space="preserve"> the juvenile court shall schedule a hearing at which the court shall consider the petition</w:t>
      </w:r>
      <w:r>
        <w:t>((</w:t>
      </w:r>
      <w:r>
        <w:rPr>
          <w:strike/>
        </w:rPr>
        <w:t xml:space="preserve">, or if the court determines that a referral to an available community truancy board would substantially reduce the child's unexcused absences, the court may refer the case to a community truancy board under the jurisdiction of the juvenile court</w:t>
      </w:r>
      <w:r>
        <w:t>))</w:t>
      </w:r>
      <w:r>
        <w:rPr/>
        <w:t xml:space="preserve">.</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When</w:t>
      </w:r>
      <w:r>
        <w:rPr/>
        <w:t xml:space="preserve">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w:t>
      </w:r>
      <w:r>
        <w:rPr>
          <w:u w:val="single"/>
        </w:rPr>
        <w:t xml:space="preserve">community</w:t>
      </w:r>
      <w:r>
        <w:rPr/>
        <w:t xml:space="preserve"> truancy board fails to reach an agreement, or the parent or student does not comply with the agreement, the truancy board shall return the case to the juvenile court for a hearing.</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w:t>
      </w:r>
      <w:r>
        <w:t>((</w:t>
      </w:r>
      <w:r>
        <w:rPr>
          <w:strike/>
        </w:rPr>
        <w:t xml:space="preserve">the preferred practice is for</w:t>
      </w:r>
      <w:r>
        <w:t>))</w:t>
      </w:r>
      <w:r>
        <w:rPr/>
        <w:t xml:space="preserve"> notice </w:t>
      </w:r>
      <w:r>
        <w:t>((</w:t>
      </w:r>
      <w:r>
        <w:rPr>
          <w:strike/>
        </w:rPr>
        <w:t xml:space="preserve">to</w:t>
      </w:r>
      <w:r>
        <w:t>))</w:t>
      </w:r>
      <w:r>
        <w:rPr/>
        <w:t xml:space="preserve"> </w:t>
      </w:r>
      <w:r>
        <w:rPr>
          <w:u w:val="single"/>
        </w:rPr>
        <w:t xml:space="preserve">should</w:t>
      </w:r>
      <w:r>
        <w:rPr/>
        <w:t xml:space="preserve"> be provided in a language in which the parent is fluent </w:t>
      </w:r>
      <w:r>
        <w:rPr>
          <w:u w:val="single"/>
        </w:rPr>
        <w:t xml:space="preserve">as indicated on the petition pursuant to RCW 28A.225.030(1)</w:t>
      </w:r>
      <w:r>
        <w:rPr/>
        <w:t xml:space="preserve">;</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t>
      </w:r>
      <w:r>
        <w:t>((</w:t>
      </w:r>
      <w:r>
        <w:rPr>
          <w:strike/>
        </w:rPr>
        <w:t xml:space="preserve">including suspensions</w:t>
      </w:r>
      <w:r>
        <w:t>))</w:t>
      </w:r>
      <w:r>
        <w:rPr/>
        <w:t xml:space="preserve"> </w:t>
      </w:r>
      <w:r>
        <w:rPr>
          <w:u w:val="single"/>
        </w:rPr>
        <w:t xml:space="preserve">which shall not consider a suspension day as an unexcused absence</w:t>
      </w:r>
      <w:r>
        <w:rPr/>
        <w:t xml:space="preserv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w:t>
      </w:r>
      <w:r>
        <w:t>((</w:t>
      </w:r>
      <w:r>
        <w:rPr>
          <w:strike/>
        </w:rPr>
        <w:t xml:space="preserve">Be referred to a community truancy board, if available; or</w:t>
      </w:r>
    </w:p>
    <w:p>
      <w:pPr>
        <w:spacing w:before="0" w:after="0" w:line="408" w:lineRule="exact"/>
        <w:ind w:left="0" w:right="0" w:firstLine="576"/>
        <w:jc w:val="left"/>
      </w:pPr>
      <w:r>
        <w:rPr>
          <w:strike/>
        </w:rPr>
        <w:t xml:space="preserve">(e)</w:t>
      </w:r>
      <w:r>
        <w:t>))</w:t>
      </w:r>
      <w:r>
        <w:rPr/>
        <w:t xml:space="preserve"> Submit to </w:t>
      </w:r>
      <w:r>
        <w:t>((</w:t>
      </w:r>
      <w:r>
        <w:rPr>
          <w:strike/>
        </w:rPr>
        <w:t xml:space="preserve">testing for the use of controlled substances or alcohol based on a determination that such testing</w:t>
      </w:r>
      <w:r>
        <w:t>))</w:t>
      </w:r>
      <w:r>
        <w:rPr/>
        <w:t xml:space="preserve"> </w:t>
      </w:r>
      <w:r>
        <w:rPr>
          <w:u w:val="single"/>
        </w:rPr>
        <w:t xml:space="preserve">a substance abuse assessment if the court finds on the record that such assessment</w:t>
      </w:r>
      <w:r>
        <w:rPr/>
        <w:t xml:space="preserve"> is appropriate to the circumstances and behavior of the child and will facilitate the child's compliance with the mandatory attendance law and, if any </w:t>
      </w:r>
      <w:r>
        <w:rPr>
          <w:u w:val="single"/>
        </w:rPr>
        <w:t xml:space="preserve">assessment, including a urinalysis</w:t>
      </w:r>
      <w:r>
        <w:rPr/>
        <w:t xml:space="preserve"> test ordered under this subsection indicates the use of controlled substances or alcohol, order the minor to abstain from the unlawful consumption of controlled substances or alcohol and adhere to the recommendations of the </w:t>
      </w:r>
      <w:r>
        <w:t>((</w:t>
      </w:r>
      <w:r>
        <w:rPr>
          <w:strike/>
        </w:rPr>
        <w:t xml:space="preserve">drug</w:t>
      </w:r>
      <w:r>
        <w:t>))</w:t>
      </w:r>
      <w:r>
        <w:rPr/>
        <w:t xml:space="preserve"> </w:t>
      </w:r>
      <w:r>
        <w:rPr>
          <w:u w:val="single"/>
        </w:rPr>
        <w:t xml:space="preserve">substance abuse</w:t>
      </w:r>
      <w:r>
        <w:rPr/>
        <w:t xml:space="preserve"> assessment at no expense to the school</w:t>
      </w:r>
      <w:r>
        <w:rPr>
          <w:u w:val="single"/>
        </w:rPr>
        <w:t xml:space="preserve">; or</w:t>
      </w:r>
    </w:p>
    <w:p>
      <w:pPr>
        <w:spacing w:before="0" w:after="0" w:line="408" w:lineRule="exact"/>
        <w:ind w:left="0" w:right="0" w:firstLine="576"/>
        <w:jc w:val="left"/>
      </w:pPr>
      <w:r>
        <w:rPr>
          <w:u w:val="single"/>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u w:val="single"/>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by no fewer than ten beds per fiscal year through fiscal year 2019 in order to accommodate truant students found in contempt of a court order to attend school. The additional capacity shall be distributed around the state based upon need and, to the extent feasible, shall be geographically situated to expand the use of crisis residential centers as set forth in this chapter so they are available for use by all courts for housing truant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(1) This chapter is designed to: (a) Promote the use of data when developing programs to assist underachieving students and reduce disruptive behaviors in the classroom; and (b) guide school districts in providing the most effective and efficient practices when implementing supplemental instruction and services to assist underachieving students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w:t>
      </w:r>
      <w:r>
        <w:rPr>
          <w:u w:val="single"/>
        </w:rPr>
        <w:t xml:space="preserve">:</w:t>
      </w:r>
    </w:p>
    <w:p>
      <w:pPr>
        <w:spacing w:before="0" w:after="0" w:line="408" w:lineRule="exact"/>
        <w:ind w:left="0" w:right="0" w:firstLine="576"/>
        <w:jc w:val="left"/>
      </w:pPr>
      <w:r>
        <w:rPr>
          <w:u w:val="single"/>
        </w:rPr>
        <w:t xml:space="preserve">(a) I</w:t>
      </w:r>
      <w:r>
        <w:rPr/>
        <w:t xml:space="preserve">n grades kindergarten through four who are deficient in reading or reading readiness skills to improve reading literacy</w:t>
      </w:r>
      <w:r>
        <w:rPr>
          <w:u w:val="single"/>
        </w:rPr>
        <w:t xml:space="preserve">; and</w:t>
      </w:r>
    </w:p>
    <w:p>
      <w:pPr>
        <w:spacing w:before="0" w:after="0" w:line="408" w:lineRule="exact"/>
        <w:ind w:left="0" w:right="0" w:firstLine="576"/>
        <w:jc w:val="left"/>
      </w:pPr>
      <w:r>
        <w:rPr>
          <w:u w:val="single"/>
        </w:rPr>
        <w:t xml:space="preserve">(b) Referred to community truancy boards as defined in RCW 28A.225.025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Beginning in the 2015-16 school year, expenditure of funds from the learning assistance program must be consistent with the provisions of RCW 28A.655.235.</w:t>
      </w:r>
    </w:p>
    <w:p>
      <w:pPr>
        <w:spacing w:before="0" w:after="0" w:line="408" w:lineRule="exact"/>
        <w:ind w:left="0" w:right="0" w:firstLine="576"/>
        <w:jc w:val="left"/>
      </w:pPr>
      <w:r>
        <w:rPr/>
        <w:t xml:space="preserve">(2)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w:t>
      </w:r>
      <w:r>
        <w:t>((</w:t>
      </w:r>
      <w:r>
        <w:rPr>
          <w:strike/>
        </w:rPr>
        <w:t xml:space="preserve">and</w:t>
      </w:r>
      <w:r>
        <w:t>))</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office of the superintendent of public instruction must approve any community-based organization or local agency before learning assistance funds may be expended</w:t>
      </w:r>
      <w:r>
        <w:rPr>
          <w:u w:val="single"/>
        </w:rPr>
        <w:t xml:space="preserve">; and</w:t>
      </w:r>
    </w:p>
    <w:p>
      <w:pPr>
        <w:spacing w:before="0" w:after="0" w:line="408" w:lineRule="exact"/>
        <w:ind w:left="0" w:right="0" w:firstLine="576"/>
        <w:jc w:val="left"/>
      </w:pPr>
      <w:r>
        <w:rPr>
          <w:u w:val="single"/>
        </w:rPr>
        <w:t xml:space="preserve">(h) Up to two percent of a district's learning assistance program allocation may be used to fund community truancy board activities and student supports as described in RCW 28A.225.025</w:t>
      </w:r>
      <w:r>
        <w:rPr/>
        <w:t xml:space="preserve">.</w:t>
      </w:r>
    </w:p>
    <w:p>
      <w:pPr>
        <w:spacing w:before="0" w:after="0" w:line="408" w:lineRule="exact"/>
        <w:ind w:left="0" w:right="0" w:firstLine="576"/>
        <w:jc w:val="left"/>
      </w:pPr>
      <w:r>
        <w:rPr/>
        <w:t xml:space="preserve">(3)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(4)(a) Beginning in the 2016-17 school year, except as provided in (b) of this subsection, school districts must use a practice or strategy that is on a state menu developed under subsection (3)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(5)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235</w:t>
      </w:r>
      <w:r>
        <w:rPr/>
        <w:t xml:space="preserve"> and 2013 2nd sp.s. c 18 s 106 are each amended to read as follows:</w:t>
      </w:r>
    </w:p>
    <w:p>
      <w:pPr>
        <w:spacing w:before="0" w:after="0" w:line="408" w:lineRule="exact"/>
        <w:ind w:left="0" w:right="0" w:firstLine="576"/>
        <w:jc w:val="left"/>
      </w:pPr>
      <w:r>
        <w:rPr/>
        <w:t xml:space="preserve">(1)(a) Beginning in the 2015-16 school year, except as otherwise provided in this subsection (1), for any student who received a score of basic or below basic on the third grade statewide student assessment in English language arts in the previous school year, the school district must implement an intensive reading and literacy improvement strategy from a state menu of best practices established in accordance with subsection (3) of this section or an alternative strategy in accordance with subsection (4) of this section.</w:t>
      </w:r>
    </w:p>
    <w:p>
      <w:pPr>
        <w:spacing w:before="0" w:after="0" w:line="408" w:lineRule="exact"/>
        <w:ind w:left="0" w:right="0" w:firstLine="576"/>
        <w:jc w:val="left"/>
      </w:pPr>
      <w:r>
        <w:rPr/>
        <w:t xml:space="preserve">(b) </w:t>
      </w:r>
      <w:r>
        <w:rPr>
          <w:u w:val="single"/>
        </w:rPr>
        <w:t xml:space="preserve">Beginning August 1, 2017, the school district must implement a community truancy board as provided in RCW 28A.165.035.</w:t>
      </w:r>
    </w:p>
    <w:p>
      <w:pPr>
        <w:spacing w:before="0" w:after="0" w:line="408" w:lineRule="exact"/>
        <w:ind w:left="0" w:right="0" w:firstLine="576"/>
        <w:jc w:val="left"/>
      </w:pPr>
      <w:r>
        <w:rPr>
          <w:u w:val="single"/>
        </w:rPr>
        <w:t xml:space="preserve">(c)</w:t>
      </w:r>
      <w:r>
        <w:rPr/>
        <w:t xml:space="preserve"> Reading and literacy improvement strategies for students with disabilities whose individualized education program includes specially designed instruction in reading or English language arts shall be as provided in the individualized education program.</w:t>
      </w:r>
    </w:p>
    <w:p>
      <w:pPr>
        <w:spacing w:before="0" w:after="0" w:line="408" w:lineRule="exact"/>
        <w:ind w:left="0" w:right="0" w:firstLine="576"/>
        <w:jc w:val="left"/>
      </w:pPr>
      <w:r>
        <w:rPr/>
        <w:t xml:space="preserve">(2)(a) Also beginning in the 2015-16 school year, in any school where more than forty percent of the tested students received a score of basic or below basic on the third grade statewide student assessment in English language arts in the previous school year, as calculated under this subsection (2), the school district must implement an intensive reading and literacy improvement strategy from a state menu of best practices established in accordance with subsection (3) of this section or an alternative strategy in accordance with subsection (4) of this section for all students in grades kindergarten through four at the school.</w:t>
      </w:r>
    </w:p>
    <w:p>
      <w:pPr>
        <w:spacing w:before="0" w:after="0" w:line="408" w:lineRule="exact"/>
        <w:ind w:left="0" w:right="0" w:firstLine="576"/>
        <w:jc w:val="left"/>
      </w:pPr>
      <w:r>
        <w:rPr/>
        <w:t xml:space="preserve">(b) For the purposes of this subsection (2), the office of the superintendent of public instruction shall exclude the following from the calculation of a school's percentage of tested students receiving a score of basic or below basic on the third grade statewide student assessment:</w:t>
      </w:r>
    </w:p>
    <w:p>
      <w:pPr>
        <w:spacing w:before="0" w:after="0" w:line="408" w:lineRule="exact"/>
        <w:ind w:left="0" w:right="0" w:firstLine="576"/>
        <w:jc w:val="left"/>
      </w:pPr>
      <w:r>
        <w:rPr/>
        <w:t xml:space="preserve">(i) Students enrolled in the transitional bilingual instruction program unless the student has participated in the transitional bilingual instruction program for three school years;</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student assessment; and</w:t>
      </w:r>
    </w:p>
    <w:p>
      <w:pPr>
        <w:spacing w:before="0" w:after="0" w:line="408" w:lineRule="exact"/>
        <w:ind w:left="0" w:right="0" w:firstLine="576"/>
        <w:jc w:val="left"/>
      </w:pPr>
      <w:r>
        <w:rPr/>
        <w:t xml:space="preserve">(iii) Schools with fewer than ten students in third grade.</w:t>
      </w:r>
    </w:p>
    <w:p>
      <w:pPr>
        <w:spacing w:before="0" w:after="0" w:line="408" w:lineRule="exact"/>
        <w:ind w:left="0" w:right="0" w:firstLine="576"/>
        <w:jc w:val="left"/>
      </w:pPr>
      <w:r>
        <w:rPr/>
        <w:t xml:space="preserve">(3) The office of the superintendent of public instruction shall convene a panel of experts, including the Washington state institute for public policy, to develop a state menu of best practices and strategies for intensive reading and literacy improvement designed to assist struggling students in reaching grade level in reading by the end of fourth grade. The state menu must also include best practices and strategies to improve the reading and literacy of students who are English language learners and for system improvements that schools and school districts can implement to improve reading instruction for all students. The office of the superintendent of public instruction shall publish the state menu by July 1, 2014, and update the state menu by each July 1st thereafter.</w:t>
      </w:r>
    </w:p>
    <w:p>
      <w:pPr>
        <w:spacing w:before="0" w:after="0" w:line="408" w:lineRule="exact"/>
        <w:ind w:left="0" w:right="0" w:firstLine="576"/>
        <w:jc w:val="left"/>
      </w:pPr>
      <w:r>
        <w:rPr/>
        <w:t xml:space="preserve">(4) School districts may use an alternative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must approve use of the alternative practice or strategy by the district for one additional school year. Subsequent annual approval by the superintendent of public instruction to use the alternative practice or strategy is dependent on the district continuing to demonstrate an increase in improved outcomes for participating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through 14 of this act take effect September 1, 2016.</w:t>
      </w:r>
    </w:p>
    <w:p/>
    <w:p>
      <w:pPr>
        <w:jc w:val="center"/>
      </w:pPr>
      <w:r>
        <w:rPr>
          <w:b/>
        </w:rPr>
        <w:t>--- END ---</w:t>
      </w:r>
    </w:p>
    <w:sectPr>
      <w:pgNumType w:start="1"/>
      <w:footerReference xmlns:r="http://schemas.openxmlformats.org/officeDocument/2006/relationships" r:id="R4db586d7036b4d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08ab4f12aa48e2" /><Relationship Type="http://schemas.openxmlformats.org/officeDocument/2006/relationships/footer" Target="/word/footer.xml" Id="R4db586d7036b4d39" /></Relationships>
</file>