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3574e07224301" /></Relationships>
</file>

<file path=word/document.xml><?xml version="1.0" encoding="utf-8"?>
<w:document xmlns:w="http://schemas.openxmlformats.org/wordprocessingml/2006/main">
  <w:body>
    <w:p>
      <w:r>
        <w:t>S-4012.1</w:t>
      </w:r>
    </w:p>
    <w:p>
      <w:pPr>
        <w:jc w:val="center"/>
      </w:pPr>
      <w:r>
        <w:t>_______________________________________________</w:t>
      </w:r>
    </w:p>
    <w:p/>
    <w:p>
      <w:pPr>
        <w:jc w:val="center"/>
      </w:pPr>
      <w:r>
        <w:rPr>
          <w:b/>
        </w:rPr>
        <w:t>SENATE BILL 6525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Liias, Rolfes, Dammeier, and Schoesler</w:t>
      </w:r>
    </w:p>
    <w:p/>
    <w:p>
      <w:r>
        <w:rPr>
          <w:t xml:space="preserve">Read first time 01/25/16.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19.27.070, 19.27.074, 19.27A.020, and 19.27.085;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shall represent </w:t>
      </w:r>
      <w:r>
        <w:rPr>
          <w:u w:val="single"/>
        </w:rPr>
        <w:t xml:space="preserve">private sector</w:t>
      </w:r>
      <w:r>
        <w:rPr/>
        <w:t xml:space="preserve"> general construction, specializing in commercial and industrial building construction;</w:t>
      </w:r>
    </w:p>
    <w:p>
      <w:pPr>
        <w:spacing w:before="0" w:after="0" w:line="408" w:lineRule="exact"/>
        <w:ind w:left="0" w:right="0" w:firstLine="576"/>
        <w:jc w:val="left"/>
      </w:pPr>
      <w:r>
        <w:rPr/>
        <w:t xml:space="preserve">(f) One member shall represent </w:t>
      </w:r>
      <w:r>
        <w:rPr>
          <w:u w:val="single"/>
        </w:rPr>
        <w:t xml:space="preserve">private sector</w:t>
      </w:r>
      <w:r>
        <w:rPr/>
        <w:t xml:space="preserve"> general construction, specializing in residential and multifamily building construction;</w:t>
      </w:r>
    </w:p>
    <w:p>
      <w:pPr>
        <w:spacing w:before="0" w:after="0" w:line="408" w:lineRule="exact"/>
        <w:ind w:left="0" w:right="0" w:firstLine="576"/>
        <w:jc w:val="left"/>
      </w:pPr>
      <w:r>
        <w:rPr/>
        <w:t xml:space="preserve">(g) One member shall represent the architectural design profession </w:t>
      </w:r>
      <w:r>
        <w:rPr>
          <w:u w:val="single"/>
        </w:rPr>
        <w:t xml:space="preserve">private sector</w:t>
      </w:r>
      <w:r>
        <w:rPr/>
        <w:t xml:space="preserve">;</w:t>
      </w:r>
    </w:p>
    <w:p>
      <w:pPr>
        <w:spacing w:before="0" w:after="0" w:line="408" w:lineRule="exact"/>
        <w:ind w:left="0" w:right="0" w:firstLine="576"/>
        <w:jc w:val="left"/>
      </w:pPr>
      <w:r>
        <w:rPr/>
        <w:t xml:space="preserve">(h) One member shall represent the structural engineering profession </w:t>
      </w:r>
      <w:r>
        <w:rPr>
          <w:u w:val="single"/>
        </w:rPr>
        <w:t xml:space="preserve">private sector</w:t>
      </w:r>
      <w:r>
        <w:rPr/>
        <w:t xml:space="preserve">;</w:t>
      </w:r>
    </w:p>
    <w:p>
      <w:pPr>
        <w:spacing w:before="0" w:after="0" w:line="408" w:lineRule="exact"/>
        <w:ind w:left="0" w:right="0" w:firstLine="576"/>
        <w:jc w:val="left"/>
      </w:pPr>
      <w:r>
        <w:rPr/>
        <w:t xml:space="preserve">(i) One member shall represent the mechanical engineering profession </w:t>
      </w:r>
      <w:r>
        <w:rPr>
          <w:u w:val="single"/>
        </w:rPr>
        <w:t xml:space="preserve">private sector</w:t>
      </w:r>
      <w:r>
        <w:rPr/>
        <w:t xml:space="preserve">;</w:t>
      </w:r>
    </w:p>
    <w:p>
      <w:pPr>
        <w:spacing w:before="0" w:after="0" w:line="408" w:lineRule="exact"/>
        <w:ind w:left="0" w:right="0" w:firstLine="576"/>
        <w:jc w:val="left"/>
      </w:pPr>
      <w:r>
        <w:rPr/>
        <w:t xml:space="preserve">(j) One member shall represent the construction building trades </w:t>
      </w:r>
      <w:r>
        <w:rPr>
          <w:u w:val="single"/>
        </w:rPr>
        <w:t xml:space="preserve">private sector</w:t>
      </w:r>
      <w:r>
        <w:rPr/>
        <w:t xml:space="preserve">;</w:t>
      </w:r>
    </w:p>
    <w:p>
      <w:pPr>
        <w:spacing w:before="0" w:after="0" w:line="408" w:lineRule="exact"/>
        <w:ind w:left="0" w:right="0" w:firstLine="576"/>
        <w:jc w:val="left"/>
      </w:pPr>
      <w:r>
        <w:rPr/>
        <w:t xml:space="preserve">(k) One member shall represent </w:t>
      </w:r>
      <w:r>
        <w:rPr>
          <w:u w:val="single"/>
        </w:rPr>
        <w:t xml:space="preserve">private sector</w:t>
      </w:r>
      <w:r>
        <w:rPr/>
        <w:t xml:space="preserve"> manufacturers, installers, or suppliers of building materials and components;</w:t>
      </w:r>
    </w:p>
    <w:p>
      <w:pPr>
        <w:spacing w:before="0" w:after="0" w:line="408" w:lineRule="exact"/>
        <w:ind w:left="0" w:right="0" w:firstLine="576"/>
        <w:jc w:val="left"/>
      </w:pPr>
      <w:r>
        <w:rPr/>
        <w:t xml:space="preserve">(l) One member must be a person with a physical disability and shall represent the disability community; and</w:t>
      </w:r>
    </w:p>
    <w:p>
      <w:pPr>
        <w:spacing w:before="0" w:after="0" w:line="408" w:lineRule="exact"/>
        <w:ind w:left="0" w:right="0" w:firstLine="576"/>
        <w:jc w:val="left"/>
      </w:pPr>
      <w:r>
        <w:rPr/>
        <w:t xml:space="preserve">(m) One member shall represent the general public.</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w:t>
      </w:r>
      <w:r>
        <w:rPr>
          <w:u w:val="single"/>
        </w:rPr>
        <w:t xml:space="preserve">, or outside of the private sector,</w:t>
      </w:r>
      <w:r>
        <w:rPr/>
        <w:t xml:space="preserve">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C</w:t>
      </w:r>
      <w:r>
        <w:rPr/>
        <w:t xml:space="preserve">ontract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the state building code council's administration and operations is established, with the following twenty-one members:</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 four current members of the state building code council and four members who regularly work with the council, representing local government, private sector interests, and the general public.</w:t>
      </w:r>
    </w:p>
    <w:p>
      <w:pPr>
        <w:spacing w:before="0" w:after="0" w:line="408" w:lineRule="exact"/>
        <w:ind w:left="0" w:right="0" w:firstLine="576"/>
        <w:jc w:val="left"/>
      </w:pPr>
      <w:r>
        <w:rPr/>
        <w:t xml:space="preserve">(iv) The director of the department of enterprise services shall appoint one member from the department of enterprise services, department of commerce energy program, or other appropriate state agency; four members from the industries represented on the state building code council; one member to represent cities; and one member to represent counties.</w:t>
      </w:r>
    </w:p>
    <w:p>
      <w:pPr>
        <w:spacing w:before="0" w:after="0" w:line="408" w:lineRule="exact"/>
        <w:ind w:left="0" w:right="0" w:firstLine="576"/>
        <w:jc w:val="left"/>
      </w:pPr>
      <w:r>
        <w:rPr/>
        <w:t xml:space="preserve">(v) The director of the office of program research and the director of senate committee services shall each appoint one member from their capital budget staff.</w:t>
      </w:r>
    </w:p>
    <w:p>
      <w:pPr>
        <w:spacing w:before="0" w:after="0" w:line="408" w:lineRule="exact"/>
        <w:ind w:left="0" w:right="0" w:firstLine="576"/>
        <w:jc w:val="left"/>
      </w:pPr>
      <w:r>
        <w:rPr/>
        <w:t xml:space="preserve">(b) The legislative members of the task force shall convene the initial meeting of the task force. The task force shall choose its chair from among its legislative membership.</w:t>
      </w:r>
    </w:p>
    <w:p>
      <w:pPr>
        <w:spacing w:before="0" w:after="0" w:line="408" w:lineRule="exact"/>
        <w:ind w:left="0" w:right="0" w:firstLine="576"/>
        <w:jc w:val="left"/>
      </w:pPr>
      <w:r>
        <w:rPr/>
        <w:t xml:space="preserve">(2) The task force shall review and provide recommendations to the legislature and state building code council on:</w:t>
      </w:r>
    </w:p>
    <w:p>
      <w:pPr>
        <w:spacing w:before="0" w:after="0" w:line="408" w:lineRule="exact"/>
        <w:ind w:left="0" w:right="0" w:firstLine="576"/>
        <w:jc w:val="left"/>
      </w:pPr>
      <w:r>
        <w:rPr/>
        <w:t xml:space="preserve">(a) The council's current structure, operations, and resources;</w:t>
      </w:r>
    </w:p>
    <w:p>
      <w:pPr>
        <w:spacing w:before="0" w:after="0" w:line="408" w:lineRule="exact"/>
        <w:ind w:left="0" w:right="0" w:firstLine="576"/>
        <w:jc w:val="left"/>
      </w:pPr>
      <w:r>
        <w:rPr/>
        <w:t xml:space="preserve">(b) The council's code proposal analysis, evaluation, adoption, and amendment process;</w:t>
      </w:r>
    </w:p>
    <w:p>
      <w:pPr>
        <w:spacing w:before="0" w:after="0" w:line="408" w:lineRule="exact"/>
        <w:ind w:left="0" w:right="0" w:firstLine="576"/>
        <w:jc w:val="left"/>
      </w:pPr>
      <w:r>
        <w:rPr/>
        <w:t xml:space="preserve">(c) The total resources necessary for effective code proposal analysis, evaluation, adoption, and amendment, including staffing needs;</w:t>
      </w:r>
    </w:p>
    <w:p>
      <w:pPr>
        <w:spacing w:before="0" w:after="0" w:line="408" w:lineRule="exact"/>
        <w:ind w:left="0" w:right="0" w:firstLine="576"/>
        <w:jc w:val="left"/>
      </w:pPr>
      <w:r>
        <w:rPr/>
        <w:t xml:space="preserve">(d) Economic aspects, including fiscal impact on private sector construction;</w:t>
      </w:r>
    </w:p>
    <w:p>
      <w:pPr>
        <w:spacing w:before="0" w:after="0" w:line="408" w:lineRule="exact"/>
        <w:ind w:left="0" w:right="0" w:firstLine="576"/>
        <w:jc w:val="left"/>
      </w:pPr>
      <w:r>
        <w:rPr/>
        <w:t xml:space="preserve">(e) The current code cycle length;</w:t>
      </w:r>
    </w:p>
    <w:p>
      <w:pPr>
        <w:spacing w:before="0" w:after="0" w:line="408" w:lineRule="exact"/>
        <w:ind w:left="0" w:right="0" w:firstLine="576"/>
        <w:jc w:val="left"/>
      </w:pPr>
      <w:r>
        <w:rPr/>
        <w:t xml:space="preserve">(f) The council's membership and composition, including interests and industries represented;</w:t>
      </w:r>
    </w:p>
    <w:p>
      <w:pPr>
        <w:spacing w:before="0" w:after="0" w:line="408" w:lineRule="exact"/>
        <w:ind w:left="0" w:right="0" w:firstLine="576"/>
        <w:jc w:val="left"/>
      </w:pPr>
      <w:r>
        <w:rPr/>
        <w:t xml:space="preserve">(g) Options for long-term, reliable funding of the council; and</w:t>
      </w:r>
    </w:p>
    <w:p>
      <w:pPr>
        <w:spacing w:before="0" w:after="0" w:line="408" w:lineRule="exact"/>
        <w:ind w:left="0" w:right="0" w:firstLine="576"/>
        <w:jc w:val="left"/>
      </w:pPr>
      <w:r>
        <w:rPr/>
        <w:t xml:space="preserve">(h) The powers, duties, and support services of the department of enterprise services relevant to the council.</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July 1, 2017.</w:t>
      </w:r>
    </w:p>
    <w:p>
      <w:pPr>
        <w:spacing w:before="0" w:after="0" w:line="408" w:lineRule="exact"/>
        <w:ind w:left="0" w:right="0" w:firstLine="576"/>
        <w:jc w:val="left"/>
      </w:pPr>
      <w:r>
        <w:rPr/>
        <w:t xml:space="preserve">(7)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w:t>
      </w:r>
      <w:r>
        <w:rPr>
          <w:u w:val="single"/>
        </w:rPr>
        <w:t xml:space="preserve">(a) Before July 1, 2016, and after July 1, 2018, there is imposed a fee of four dollars and fifty cents on each building permit issued by a county or a city, plus an additional surcharge of two dollars for each residential unit, but not including the first unit, on each building containing more than one residential unit.</w:t>
      </w:r>
    </w:p>
    <w:p>
      <w:pPr>
        <w:spacing w:before="0" w:after="0" w:line="408" w:lineRule="exact"/>
        <w:ind w:left="0" w:right="0" w:firstLine="576"/>
        <w:jc w:val="left"/>
      </w:pPr>
      <w:r>
        <w:rPr>
          <w:u w:val="single"/>
        </w:rPr>
        <w:t xml:space="preserve">(b) Between July 1, 2016, and July 1, 2018, t</w:t>
      </w:r>
      <w:r>
        <w:rPr/>
        <w:t xml:space="preserve">here is imposed a fee of </w:t>
      </w:r>
      <w:r>
        <w:t>((</w:t>
      </w:r>
      <w:r>
        <w:rPr>
          <w:strike/>
        </w:rPr>
        <w:t xml:space="preserve">four</w:t>
      </w:r>
      <w:r>
        <w:t>))</w:t>
      </w:r>
      <w:r>
        <w:rPr/>
        <w:t xml:space="preserve"> </w:t>
      </w:r>
      <w:r>
        <w:rPr>
          <w:u w:val="single"/>
        </w:rPr>
        <w:t xml:space="preserve">five</w:t>
      </w:r>
      <w:r>
        <w:rPr/>
        <w:t xml:space="preserve"> dollars and fifty cents on each </w:t>
      </w:r>
      <w:r>
        <w:rPr>
          <w:u w:val="single"/>
        </w:rPr>
        <w:t xml:space="preserve">residential</w:t>
      </w:r>
      <w:r>
        <w:rPr/>
        <w:t xml:space="preserve"> building permit issued by a county or a city, plus an additional surcharge of two dollars for each residential unit, but not including the first unit, on each building containing more than one residential unit</w:t>
      </w:r>
      <w:r>
        <w:rPr>
          <w:u w:val="single"/>
        </w:rPr>
        <w:t xml:space="preserve">, and a fee of ten dollars for each nonresidential building permit issued</w:t>
      </w:r>
      <w:r>
        <w:rPr/>
        <w:t xml:space="preserve">.</w:t>
      </w:r>
    </w:p>
    <w:p>
      <w:pPr>
        <w:spacing w:before="0" w:after="0" w:line="408" w:lineRule="exact"/>
        <w:ind w:left="0" w:right="0" w:firstLine="576"/>
        <w:jc w:val="left"/>
      </w:pPr>
      <w:r>
        <w:rPr>
          <w:u w:val="single"/>
        </w:rPr>
        <w:t xml:space="preserve">(4)</w:t>
      </w:r>
      <w:r>
        <w:rPr/>
        <w:t xml:space="preserve"> Quarterly each county and city shall remit moneys collected under this section to the state treasury; however, no remittance is required until a minimum of fifty dollars has accumulated pursuant to this subsection.</w:t>
      </w:r>
    </w:p>
    <w:p/>
    <w:p>
      <w:pPr>
        <w:jc w:val="center"/>
      </w:pPr>
      <w:r>
        <w:rPr>
          <w:b/>
        </w:rPr>
        <w:t>--- END ---</w:t>
      </w:r>
    </w:p>
    <w:sectPr>
      <w:pgNumType w:start="1"/>
      <w:footerReference xmlns:r="http://schemas.openxmlformats.org/officeDocument/2006/relationships" r:id="Rcfcb7ec511004b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c1510475244f1d" /><Relationship Type="http://schemas.openxmlformats.org/officeDocument/2006/relationships/footer" Target="/word/footer.xml" Id="Rcfcb7ec511004b06" /></Relationships>
</file>