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aac732ee224dfc" /></Relationships>
</file>

<file path=word/document.xml><?xml version="1.0" encoding="utf-8"?>
<w:document xmlns:w="http://schemas.openxmlformats.org/wordprocessingml/2006/main">
  <w:body>
    <w:p>
      <w:r>
        <w:t>S-4026.1</w:t>
      </w:r>
    </w:p>
    <w:p>
      <w:pPr>
        <w:jc w:val="center"/>
      </w:pPr>
      <w:r>
        <w:t>_______________________________________________</w:t>
      </w:r>
    </w:p>
    <w:p/>
    <w:p>
      <w:pPr>
        <w:jc w:val="center"/>
      </w:pPr>
      <w:r>
        <w:rPr>
          <w:b/>
        </w:rPr>
        <w:t>SENATE BILL 6547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Becker, Ranker, Miloscia, O'Ban, Dammeier, Schoesler, Angel, Roach, Litzow, Parlette, McAuliffe, Rolfes, and Conway</w:t>
      </w:r>
    </w:p>
    <w:p/>
    <w:p>
      <w:r>
        <w:rPr>
          <w:t xml:space="preserve">Read first time 01/25/16.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patrol officer recruitment and compensation; amending RCW 43.43.380, 46.68.030, 82.16.0496, and 82.04.4496; and adding a new section to chapter 43.43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To ensure that it is adequately and thoroughly reaching potential recruits, the Washington state patrol must develop a comprehensive outreach and marketing strategic plan that expands on the success of current strategies and looks for ways to tap into groups or individuals that do not currently show an interest in the state patrol or law enforcement as a career. The plan must include, but is not limited to, expanding marketing and outreach efforts online and through other media outlets and expanding recruitment relationships in respective communities. The plan must also include polling applicants about their application. Results from the polling must be tracked to determine the success of each outreach method.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1965 c 8 s 43.43.380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minimum</w:t>
      </w:r>
      <w:r>
        <w:t>))</w:t>
      </w:r>
      <w:r>
        <w:rPr/>
        <w:t xml:space="preserve"> monthly salary </w:t>
      </w:r>
      <w:r>
        <w:rPr>
          <w:u w:val="single"/>
        </w:rPr>
        <w:t xml:space="preserve">and benefits</w:t>
      </w:r>
      <w:r>
        <w:rPr/>
        <w:t xml:space="preserve"> paid to state patrol officers </w:t>
      </w:r>
      <w:r>
        <w:t>((</w:t>
      </w:r>
      <w:r>
        <w:rPr>
          <w:strike/>
        </w:rPr>
        <w:t xml:space="preserve">shall</w:t>
      </w:r>
      <w:r>
        <w:t>))</w:t>
      </w:r>
      <w:r>
        <w:rPr/>
        <w:t xml:space="preserve"> </w:t>
      </w:r>
      <w:r>
        <w:rPr>
          <w:u w:val="single"/>
        </w:rPr>
        <w:t xml:space="preserve">must</w:t>
      </w:r>
      <w:r>
        <w:rPr/>
        <w:t xml:space="preserve"> be </w:t>
      </w:r>
      <w:r>
        <w:t>((</w:t>
      </w:r>
      <w:r>
        <w:rPr>
          <w:strike/>
        </w:rPr>
        <w:t xml:space="preserve">as follows: Officers, three hundred dollars; staff or technical sergeants, three hundred twenty-five dollars; line sergeants, three hundred fifty dollars; lieutenants, three hundred seventy-five dollars; captains, four hundred twenty-five dollars</w:t>
      </w:r>
      <w:r>
        <w:t>))</w:t>
      </w:r>
      <w:r>
        <w:rPr/>
        <w:t xml:space="preserve"> </w:t>
      </w:r>
      <w:r>
        <w:rPr>
          <w:u w:val="single"/>
        </w:rPr>
        <w:t xml:space="preserve">competitive with comparable law enforcement agencies within the boundaries of the state of Washington.</w:t>
      </w:r>
    </w:p>
    <w:p>
      <w:pPr>
        <w:spacing w:before="0" w:after="0" w:line="408" w:lineRule="exact"/>
        <w:ind w:left="0" w:right="0" w:firstLine="576"/>
        <w:jc w:val="left"/>
      </w:pPr>
      <w:r>
        <w:rPr>
          <w:u w:val="single"/>
        </w:rPr>
        <w:t xml:space="preserve">(2) A 7.5 percent salary adjustment increase must be made agency-wide to existing salary levels over a three-year period. Moneys deposited into the state patrol highway account from the multimodal transportation account under RCW 82.16.0496(14)(b) and 82.04.4496(13)(b) must be used solely for state patrol salaries and benefits.</w:t>
      </w:r>
    </w:p>
    <w:p>
      <w:pPr>
        <w:spacing w:before="0" w:after="0" w:line="408" w:lineRule="exact"/>
        <w:ind w:left="0" w:right="0" w:firstLine="576"/>
        <w:jc w:val="left"/>
      </w:pPr>
      <w:r>
        <w:rPr>
          <w:u w:val="single"/>
        </w:rPr>
        <w:t xml:space="preserve">(3) If the combination of available funds and the transfers under RCW 82.16.0496(14)(b) and 82.04.4496(13)(b) are not sufficient to meet the needs of the state patrol for training and hiring at least ten new officers annually, the amount necessary to do so must be transferred from connecting Washington account project funds appropriated for fish culverts (PIN L1100066) into the state patrol highway account. This transfer must not exceed more than the appropriated amount for that project in that fiscal biennium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2015 3rd sp.s. c 43 s 601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w:t>
      </w:r>
      <w:r>
        <w:t>((</w:t>
      </w:r>
      <w:r>
        <w:rPr>
          <w:strike/>
        </w:rPr>
        <w:t xml:space="preserve">as follows:</w:t>
      </w:r>
    </w:p>
    <w:p>
      <w:pPr>
        <w:spacing w:before="0" w:after="0" w:line="408" w:lineRule="exact"/>
        <w:ind w:left="0" w:right="0" w:firstLine="576"/>
        <w:jc w:val="left"/>
      </w:pPr>
      <w:r>
        <w:rPr>
          <w:strike/>
        </w:rPr>
        <w:t xml:space="preserve">(a) $20.35 of each initial or renewal vehicle license fee must be deposited</w:t>
      </w:r>
      <w:r>
        <w:t>))</w:t>
      </w:r>
      <w:r>
        <w:rPr/>
        <w:t xml:space="preserve">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t>((</w:t>
      </w:r>
      <w:r>
        <w:rPr>
          <w:strike/>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strike/>
        </w:rPr>
        <w:t xml:space="preserve">(c) Any remaining amounts of vehicle license fees and renewal vehicle license fees that are not distributed otherwise under this section must be deposited in the motor vehicle fund.</w:t>
      </w:r>
      <w:r>
        <w:t>))</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0496</w:t>
      </w:r>
      <w:r>
        <w:rPr/>
        <w:t xml:space="preserve"> and 2015 3rd sp.s. c 44 s 412 are each amended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not available for the lease of a vehicle.</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RCW 82.04.4496,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its anticipated duties;</w:t>
      </w:r>
    </w:p>
    <w:p>
      <w:pPr>
        <w:spacing w:before="0" w:after="0" w:line="408" w:lineRule="exact"/>
        <w:ind w:left="0" w:right="0" w:firstLine="576"/>
        <w:jc w:val="left"/>
      </w:pPr>
      <w:r>
        <w:rPr/>
        <w:t xml:space="preserve">(vii) The gross weight of the vehicle; and</w:t>
      </w:r>
    </w:p>
    <w:p>
      <w:pPr>
        <w:spacing w:before="0" w:after="0" w:line="408" w:lineRule="exact"/>
        <w:ind w:left="0" w:right="0" w:firstLine="576"/>
        <w:jc w:val="left"/>
      </w:pPr>
      <w:r>
        <w:rPr/>
        <w:t xml:space="preserve">(viii)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hundred twenty days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(10) If a person fails to supply the information as required in subsection (8) of this section, the department must deny the application.</w:t>
      </w:r>
    </w:p>
    <w:p>
      <w:pPr>
        <w:spacing w:before="0" w:after="0" w:line="408" w:lineRule="exact"/>
        <w:ind w:left="0" w:right="0" w:firstLine="576"/>
        <w:jc w:val="left"/>
      </w:pPr>
      <w:r>
        <w:rPr/>
        <w:t xml:space="preserve">(11)(a) Taxpayers are only eligible for a credit under this section based on:</w:t>
      </w:r>
    </w:p>
    <w:p>
      <w:pPr>
        <w:spacing w:before="0" w:after="0" w:line="408" w:lineRule="exact"/>
        <w:ind w:left="0" w:right="0" w:firstLine="576"/>
        <w:jc w:val="left"/>
      </w:pPr>
      <w:r>
        <w:rPr/>
        <w:t xml:space="preserve">(i) Sales, but not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qualifying purchases are made.</w:t>
      </w:r>
    </w:p>
    <w:p>
      <w:pPr>
        <w:spacing w:before="0" w:after="0" w:line="408" w:lineRule="exact"/>
        <w:ind w:left="0" w:right="0" w:firstLine="576"/>
        <w:jc w:val="left"/>
      </w:pPr>
      <w:r>
        <w:rPr/>
        <w:t xml:space="preserve">(12) The definitions in RCW 82.04.4496 apply to this section.</w:t>
      </w:r>
    </w:p>
    <w:p>
      <w:pPr>
        <w:spacing w:before="0" w:after="0" w:line="408" w:lineRule="exact"/>
        <w:ind w:left="0" w:right="0" w:firstLine="576"/>
        <w:jc w:val="left"/>
      </w:pPr>
      <w:r>
        <w:rPr/>
        <w:t xml:space="preserve">(13)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(14)(a)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w:t>
      </w:r>
      <w:r>
        <w:t>((</w:t>
      </w:r>
      <w:r>
        <w:rPr>
          <w:strike/>
        </w:rPr>
        <w:t xml:space="preserve">general fund</w:t>
      </w:r>
      <w:r>
        <w:t>))</w:t>
      </w:r>
      <w:r>
        <w:rPr/>
        <w:t xml:space="preserve"> </w:t>
      </w:r>
      <w:r>
        <w:rPr>
          <w:u w:val="single"/>
        </w:rPr>
        <w:t xml:space="preserve">state patrol highway account for the purpose described in RCW 43.43.380(2)</w:t>
      </w:r>
      <w:r>
        <w:rPr/>
        <w:t xml:space="preserve">.</w:t>
      </w:r>
    </w:p>
    <w:p>
      <w:pPr>
        <w:spacing w:before="0" w:after="0" w:line="408" w:lineRule="exact"/>
        <w:ind w:left="0" w:right="0" w:firstLine="576"/>
        <w:jc w:val="left"/>
      </w:pPr>
      <w:r>
        <w:rPr/>
        <w:t xml:space="preserve">(15) Credits may be earned under this section from January 1, 2016, through January 1, 2021.</w:t>
      </w:r>
    </w:p>
    <w:p>
      <w:pPr>
        <w:spacing w:before="0" w:after="0" w:line="408" w:lineRule="exact"/>
        <w:ind w:left="0" w:right="0" w:firstLine="576"/>
        <w:jc w:val="left"/>
      </w:pPr>
      <w:r>
        <w:rPr/>
        <w:t xml:space="preserve">(16) Credits earned under this section may not be used after January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4496</w:t>
      </w:r>
      <w:r>
        <w:rPr/>
        <w:t xml:space="preserve"> and 2015 3rd sp.s. c 44 s 411 are each amended to read as follows:</w:t>
      </w:r>
    </w:p>
    <w:p>
      <w:pPr>
        <w:spacing w:before="0" w:after="0" w:line="408" w:lineRule="exact"/>
        <w:ind w:left="0" w:right="0" w:firstLine="576"/>
        <w:jc w:val="left"/>
      </w:pPr>
      <w:r>
        <w:rPr/>
        <w:t xml:space="preserve">(1)(a)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Credit Amount Per Vehicle</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Maximum Annual Credit Per Vehicle Class</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$10,000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50% of incremental cost</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w:t>
            </w:r>
          </w:p>
        </w:tc>
        <w:tc>
          <w:tcPr>
            <w:tcW w:w="2540"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(b) On September 1st of each year any unused credits from any weight class identified in the table in (a) of this subsection must be made available to applicants applying for credits under any other weight class listed.</w:t>
      </w:r>
    </w:p>
    <w:p>
      <w:pPr>
        <w:spacing w:before="0" w:after="0" w:line="408" w:lineRule="exact"/>
        <w:ind w:left="0" w:right="0" w:firstLine="576"/>
        <w:jc w:val="left"/>
      </w:pPr>
      <w:r>
        <w:rPr/>
        <w:t xml:space="preserve">(c) The credit provided in this subsection (1) is not available for the lease of a vehicle.</w:t>
      </w:r>
    </w:p>
    <w:p>
      <w:pPr>
        <w:spacing w:before="0" w:after="0" w:line="408" w:lineRule="exact"/>
        <w:ind w:left="0" w:right="0" w:firstLine="576"/>
        <w:jc w:val="left"/>
      </w:pPr>
      <w:r>
        <w:rPr/>
        <w:t xml:space="preserve">(2) A person who is taxable under this chapter is allowed, subject to the maximum annual credit per vehicle class in subsection (1)(a) of this section, a credit against the tax imposed in this chapter for the lesser of twenty-five thousand dollars or thirty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this section may not exceed the lesser of two hundred fifty thousand dollars or twenty-five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 The department must disallow any credits, or portion thereof, that would cause the total amount of credits claimed under this section, and RCW 82.16.0496, during any calendar year to exceed six million dollars. The department must provide notification on its web 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w:t>
      </w:r>
    </w:p>
    <w:p>
      <w:pPr>
        <w:spacing w:before="0" w:after="0" w:line="408" w:lineRule="exact"/>
        <w:ind w:left="0" w:right="0" w:firstLine="576"/>
        <w:jc w:val="left"/>
      </w:pPr>
      <w:r>
        <w:rPr/>
        <w:t xml:space="preserve">(iii) The type of alternative fuel to be used by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The anticipated delivery date of the vehicle;</w:t>
      </w:r>
    </w:p>
    <w:p>
      <w:pPr>
        <w:spacing w:before="0" w:after="0" w:line="408" w:lineRule="exact"/>
        <w:ind w:left="0" w:right="0" w:firstLine="576"/>
        <w:jc w:val="left"/>
      </w:pPr>
      <w:r>
        <w:rPr/>
        <w:t xml:space="preserve">(vi) The estimated annual fuel use of the vehicle in its anticipated duties;</w:t>
      </w:r>
    </w:p>
    <w:p>
      <w:pPr>
        <w:spacing w:before="0" w:after="0" w:line="408" w:lineRule="exact"/>
        <w:ind w:left="0" w:right="0" w:firstLine="576"/>
        <w:jc w:val="left"/>
      </w:pPr>
      <w:r>
        <w:rPr/>
        <w:t xml:space="preserve">(vii) The gross weight of the vehicle; and</w:t>
      </w:r>
    </w:p>
    <w:p>
      <w:pPr>
        <w:spacing w:before="0" w:after="0" w:line="408" w:lineRule="exact"/>
        <w:ind w:left="0" w:right="0" w:firstLine="576"/>
        <w:jc w:val="left"/>
      </w:pPr>
      <w:r>
        <w:rPr/>
        <w:t xml:space="preserve">(viii) Any other information deemed necessary by the department to support administration or reporting of the program.</w:t>
      </w:r>
    </w:p>
    <w:p>
      <w:pPr>
        <w:spacing w:before="0" w:after="0" w:line="408" w:lineRule="exact"/>
        <w:ind w:left="0" w:right="0" w:firstLine="576"/>
        <w:jc w:val="left"/>
      </w:pPr>
      <w:r>
        <w:rPr/>
        <w:t xml:space="preserve">(b) Within fifteen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including the total cost for the vehicle;</w:t>
      </w:r>
    </w:p>
    <w:p>
      <w:pPr>
        <w:spacing w:before="0" w:after="0" w:line="408" w:lineRule="exact"/>
        <w:ind w:left="0" w:right="0" w:firstLine="576"/>
        <w:jc w:val="left"/>
      </w:pPr>
      <w:r>
        <w:rPr/>
        <w:t xml:space="preserve">(ii) The anticipated delivery date of the vehicle, which must be within one hundred twenty days of acceptance of the credit; and</w:t>
      </w:r>
    </w:p>
    <w:p>
      <w:pPr>
        <w:spacing w:before="0" w:after="0" w:line="408" w:lineRule="exact"/>
        <w:ind w:left="0" w:right="0" w:firstLine="576"/>
        <w:jc w:val="left"/>
      </w:pPr>
      <w:r>
        <w:rPr/>
        <w:t xml:space="preserve">(iii)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fifteen days of receipt of the vehicle, including:</w:t>
      </w:r>
    </w:p>
    <w:p>
      <w:pPr>
        <w:spacing w:before="0" w:after="0" w:line="408" w:lineRule="exact"/>
        <w:ind w:left="0" w:right="0" w:firstLine="576"/>
        <w:jc w:val="left"/>
      </w:pPr>
      <w:r>
        <w:rPr/>
        <w:t xml:space="preserve">(i) A copy of the final invoice for the vehicle;</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the vehicle;</w:t>
      </w:r>
    </w:p>
    <w:p>
      <w:pPr>
        <w:spacing w:before="0" w:after="0" w:line="408" w:lineRule="exact"/>
        <w:ind w:left="0" w:right="0" w:firstLine="576"/>
        <w:jc w:val="left"/>
      </w:pPr>
      <w:r>
        <w:rPr/>
        <w:t xml:space="preserve">(iv) The incremental cost of the alternative fuel system;</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To administer the credits, the department must, at a minimum:</w:t>
      </w:r>
    </w:p>
    <w:p>
      <w:pPr>
        <w:spacing w:before="0" w:after="0" w:line="408" w:lineRule="exact"/>
        <w:ind w:left="0" w:right="0" w:firstLine="576"/>
        <w:jc w:val="left"/>
      </w:pPr>
      <w:r>
        <w:rPr/>
        <w:t xml:space="preserve">(a) Provide notification on its web site monthly of the amount of credits that have been applied for, claimed, and the amount remaining before the statewide annual limit is reached;</w:t>
      </w:r>
    </w:p>
    <w:p>
      <w:pPr>
        <w:spacing w:before="0" w:after="0" w:line="408" w:lineRule="exact"/>
        <w:ind w:left="0" w:right="0" w:firstLine="576"/>
        <w:jc w:val="left"/>
      </w:pPr>
      <w:r>
        <w:rPr/>
        <w:t xml:space="preserve">(b) Within fifteen days of receipt of the application, notify persons applying of the availability of tax credits in the year in which the vehicles applied for are anticipated to be delivered;</w:t>
      </w:r>
    </w:p>
    <w:p>
      <w:pPr>
        <w:spacing w:before="0" w:after="0" w:line="408" w:lineRule="exact"/>
        <w:ind w:left="0" w:right="0" w:firstLine="576"/>
        <w:jc w:val="left"/>
      </w:pPr>
      <w:r>
        <w:rPr/>
        <w:t xml:space="preserve">(c) Within fifteen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fifteen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(10) If a person fails to supply the information as required in subsection (8) of this section, the department must deny the application.</w:t>
      </w:r>
    </w:p>
    <w:p>
      <w:pPr>
        <w:spacing w:before="0" w:after="0" w:line="408" w:lineRule="exact"/>
        <w:ind w:left="0" w:right="0" w:firstLine="576"/>
        <w:jc w:val="left"/>
      </w:pPr>
      <w:r>
        <w:rPr/>
        <w:t xml:space="preserve">(11)(a) Taxpayers are only eligible for a credit under this section based on:</w:t>
      </w:r>
    </w:p>
    <w:p>
      <w:pPr>
        <w:spacing w:before="0" w:after="0" w:line="408" w:lineRule="exact"/>
        <w:ind w:left="0" w:right="0" w:firstLine="576"/>
        <w:jc w:val="left"/>
      </w:pPr>
      <w:r>
        <w:rPr/>
        <w:t xml:space="preserve">(i) Sales, but not leases, of new commercial vehicles and qualifying used commercial vehicles with propulsion units that are principally powered by a clean alternative fuel; or</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w:t>
      </w:r>
    </w:p>
    <w:p>
      <w:pPr>
        <w:spacing w:before="0" w:after="0" w:line="408" w:lineRule="exact"/>
        <w:ind w:left="0" w:right="0" w:firstLine="576"/>
        <w:jc w:val="left"/>
      </w:pPr>
      <w:r>
        <w:rPr/>
        <w:t xml:space="preserve">(b) A credit is earned when qualifying purchases are made.</w:t>
      </w:r>
    </w:p>
    <w:p>
      <w:pPr>
        <w:spacing w:before="0" w:after="0" w:line="408" w:lineRule="exact"/>
        <w:ind w:left="0" w:right="0" w:firstLine="576"/>
        <w:jc w:val="left"/>
      </w:pPr>
      <w:r>
        <w:rPr/>
        <w:t xml:space="preserve">(12)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(13)(a)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w:t>
      </w:r>
      <w:r>
        <w:t>((</w:t>
      </w:r>
      <w:r>
        <w:rPr>
          <w:strike/>
        </w:rPr>
        <w:t xml:space="preserve">general fund</w:t>
      </w:r>
      <w:r>
        <w:t>))</w:t>
      </w:r>
      <w:r>
        <w:rPr/>
        <w:t xml:space="preserve"> </w:t>
      </w:r>
      <w:r>
        <w:rPr>
          <w:u w:val="single"/>
        </w:rPr>
        <w:t xml:space="preserve">state patrol highway account for the purpose described in RCW 43.43.380(2)</w:t>
      </w:r>
      <w:r>
        <w:rPr/>
        <w:t xml:space="preserve">.</w:t>
      </w:r>
    </w:p>
    <w:p>
      <w:pPr>
        <w:spacing w:before="0" w:after="0" w:line="408" w:lineRule="exact"/>
        <w:ind w:left="0" w:right="0" w:firstLine="576"/>
        <w:jc w:val="left"/>
      </w:pPr>
      <w:r>
        <w:rPr/>
        <w:t xml:space="preserve">(14) The definitions in this subsection apply throughout this section unless the context clearly requires otherwise.</w:t>
      </w:r>
    </w:p>
    <w:p>
      <w:pPr>
        <w:spacing w:before="0" w:after="0" w:line="408" w:lineRule="exact"/>
        <w:ind w:left="0" w:right="0" w:firstLine="576"/>
        <w:jc w:val="left"/>
      </w:pPr>
      <w:r>
        <w:rPr/>
        <w:t xml:space="preserve">(a) "Commercial vehicle" means any commercial vehicle that is purchased by a private business and that is used exclusively in the transportation of commodities, merchandise, produce, refuse, freight, or animals, and that is displaying a Washington state license plate.</w:t>
      </w:r>
    </w:p>
    <w:p>
      <w:pPr>
        <w:spacing w:before="0" w:after="0" w:line="408" w:lineRule="exact"/>
        <w:ind w:left="0" w:right="0" w:firstLine="576"/>
        <w:jc w:val="left"/>
      </w:pPr>
      <w:r>
        <w:rPr/>
        <w:t xml:space="preserve">(b) "Clean alternative fuel" means electricity, dimethyl ether, hydrogen, methane, natural gas, liquefied natural gas, compressed natural gas, or propane.</w:t>
      </w:r>
    </w:p>
    <w:p>
      <w:pPr>
        <w:spacing w:before="0" w:after="0" w:line="408" w:lineRule="exact"/>
        <w:ind w:left="0" w:right="0" w:firstLine="576"/>
        <w:jc w:val="left"/>
      </w:pPr>
      <w:r>
        <w:rPr/>
        <w:t xml:space="preserve">(c) "Qualifying used commercial vehicle" means vehicles that:</w:t>
      </w:r>
    </w:p>
    <w:p>
      <w:pPr>
        <w:spacing w:before="0" w:after="0" w:line="408" w:lineRule="exact"/>
        <w:ind w:left="0" w:right="0" w:firstLine="576"/>
        <w:jc w:val="left"/>
      </w:pPr>
      <w:r>
        <w:rPr/>
        <w:t xml:space="preserve">(i) Have an odometer reading of less than thirty thousand miles;</w:t>
      </w:r>
    </w:p>
    <w:p>
      <w:pPr>
        <w:spacing w:before="0" w:after="0" w:line="408" w:lineRule="exact"/>
        <w:ind w:left="0" w:right="0" w:firstLine="576"/>
        <w:jc w:val="left"/>
      </w:pPr>
      <w:r>
        <w:rPr/>
        <w:t xml:space="preserve">(ii) Are less than two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t xml:space="preserve">(15) Credits may be earned under this section from January 1, 2016, through January 1, 2021.</w:t>
      </w:r>
    </w:p>
    <w:p>
      <w:pPr>
        <w:spacing w:before="0" w:after="0" w:line="408" w:lineRule="exact"/>
        <w:ind w:left="0" w:right="0" w:firstLine="576"/>
        <w:jc w:val="left"/>
      </w:pPr>
      <w:r>
        <w:rPr/>
        <w:t xml:space="preserve">(16) Credits earned under this section may not be used after January 1, 2022.</w:t>
      </w:r>
    </w:p>
    <w:p/>
    <w:p>
      <w:pPr>
        <w:jc w:val="center"/>
      </w:pPr>
      <w:r>
        <w:rPr>
          <w:b/>
        </w:rPr>
        <w:t>--- END ---</w:t>
      </w:r>
    </w:p>
    <w:sectPr>
      <w:pgNumType w:start="1"/>
      <w:footerReference xmlns:r="http://schemas.openxmlformats.org/officeDocument/2006/relationships" r:id="R15fe8a3c2ce744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3dfb2b3c5c4451" /><Relationship Type="http://schemas.openxmlformats.org/officeDocument/2006/relationships/footer" Target="/word/footer.xml" Id="R15fe8a3c2ce74451" /></Relationships>
</file>