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6c9ed4e1cd44d7" /></Relationships>
</file>

<file path=word/document.xml><?xml version="1.0" encoding="utf-8"?>
<w:document xmlns:w="http://schemas.openxmlformats.org/wordprocessingml/2006/main">
  <w:body>
    <w:p>
      <w:r>
        <w:t>S-4136.1</w:t>
      </w:r>
    </w:p>
    <w:p>
      <w:pPr>
        <w:jc w:val="center"/>
      </w:pPr>
      <w:r>
        <w:t>_______________________________________________</w:t>
      </w:r>
    </w:p>
    <w:p/>
    <w:p>
      <w:pPr>
        <w:jc w:val="center"/>
      </w:pPr>
      <w:r>
        <w:rPr>
          <w:b/>
        </w:rPr>
        <w:t>SENATE BILL 6573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Keiser, Hasegawa, and Fraser</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prevailing rate of wage based on collective bargaining agreements or other methods if collective bargaining agreements are not available;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The industrial statistician shall establish the prevailing rate of wage by adopting the hourly wage, usual benefits, and overtime pay established in collective bargaining agreements for those trades and occupations that have collective bargaining agreements. For trades and occupations in which there are no collective bargaining agreements, the industrial statistician shall establish the prevailing rate of wage by conducting wage and hour surveys. In instances when there are no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423aec9f9fc74f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5a38fdba547f2" /><Relationship Type="http://schemas.openxmlformats.org/officeDocument/2006/relationships/footer" Target="/word/footer.xml" Id="R423aec9f9fc74f7a" /></Relationships>
</file>