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0ffd747bc403b" /></Relationships>
</file>

<file path=word/document.xml><?xml version="1.0" encoding="utf-8"?>
<w:document xmlns:w="http://schemas.openxmlformats.org/wordprocessingml/2006/main">
  <w:body>
    <w:p>
      <w:r>
        <w:t>S-4433.2</w:t>
      </w:r>
    </w:p>
    <w:p>
      <w:pPr>
        <w:jc w:val="center"/>
      </w:pPr>
      <w:r>
        <w:t>_______________________________________________</w:t>
      </w:r>
    </w:p>
    <w:p/>
    <w:p>
      <w:pPr>
        <w:jc w:val="center"/>
      </w:pPr>
      <w:r>
        <w:rPr>
          <w:b/>
        </w:rPr>
        <w:t>SUBSTITUTE SENATE BILL 6638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 Warnick)</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assessment on cattle; and amending RCW 16.67.120.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per head on all Washington cattle sold in this state or elsewhere to be paid by the seller at the time of sale: PROVIDED, That if such sale is accompanied by a brand inspection by the department such assessment may be collected at the same time, place and in the same manner as brand inspection fees. Such fees may be collected by the livestock services division of the department and transmitted to the commission: PROVIDED FURTHER, That, if such sale is made without a brand inspection by the department the assessment shall be paid by the seller and transmitted directly to the commission by the fifteenth day of the month following the month the transaction occurred. </w:t>
      </w:r>
      <w:r>
        <w:rPr>
          <w:u w:val="single"/>
        </w:rPr>
        <w:t xml:space="preserve">One dollar of the two dollar assessment under this subsection may not be collected at the first point of sale of any calf identified with a green tag as defined in RCW 16.57.160.</w:t>
      </w:r>
    </w:p>
    <w:p>
      <w:pPr>
        <w:spacing w:before="0" w:after="0" w:line="408" w:lineRule="exact"/>
        <w:ind w:left="0" w:right="0" w:firstLine="576"/>
        <w:jc w:val="left"/>
      </w:pPr>
      <w:r>
        <w:rPr/>
        <w:t xml:space="preserve">(2)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(3) The commission shall submit a report by January 1st of each year to the appropriate committees of the legislature having oversight over agriculture. The report must provide an accounting of the funds collected under this section for the previous year, including a record of the amount collected, the amount spent, and the purposes for which the funds were used.</w:t>
      </w:r>
    </w:p>
    <w:p/>
    <w:p>
      <w:pPr>
        <w:jc w:val="center"/>
      </w:pPr>
      <w:r>
        <w:rPr>
          <w:b/>
        </w:rPr>
        <w:t>--- END ---</w:t>
      </w:r>
    </w:p>
    <w:sectPr>
      <w:pgNumType w:start="1"/>
      <w:footerReference xmlns:r="http://schemas.openxmlformats.org/officeDocument/2006/relationships" r:id="R50c32049c33746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a30c69b63e445c" /><Relationship Type="http://schemas.openxmlformats.org/officeDocument/2006/relationships/footer" Target="/word/footer.xml" Id="R50c32049c33746a1" /></Relationships>
</file>