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c3364ac2940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5048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Chase, Roach, Hatfield, and Miloscia)</w:t>
      </w:r>
    </w:p>
    <w:p/>
    <w:p>
      <w:r>
        <w:rPr>
          <w:t xml:space="preserve">READ FIRST TIME 02/11/15.  </w:t>
        </w:rPr>
      </w:r>
    </w:p>
    <w:p>
      <w:r>
        <w:br/>
      </w:r>
    </w:p>
    <w:p>
      <w:r>
        <w:fldChar w:fldCharType="begin"/>
      </w:r>
      <w:r>
        <w:instrText xml:space="default"> ADVANCE \y328 </w:instrText>
      </w:r>
      <w:r>
        <w:fldChar w:fldCharType="end"/>
      </w:r>
    </w:p>
    <w:p>
      <w:pPr>
        <w:ind w:left="0" w:right="0" w:firstLine="360"/>
        <w:jc w:val="both"/>
      </w:pPr>
      <w:r>
        <w:rPr/>
        <w:t xml:space="preserve">AN ACT Relating to the referendum of assumptions of water-sewer districts by cities and towns; amending RCW 29A.36.071; and adding new sections to chapter 35.13A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and issue a petition identification number. The ballot title must be prepared by the applicable city attorney in accordance with this section and RCW 29A.36.071, and the question posed to the voters must be written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ind w:left="0" w:right="0" w:firstLine="360"/>
        <w:jc w:val="both"/>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all or part of the water-sewer district.</w:t>
      </w:r>
    </w:p>
    <w:p>
      <w:pPr>
        <w:ind w:left="0" w:right="0" w:firstLine="360"/>
        <w:jc w:val="both"/>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ind w:left="0" w:right="0" w:firstLine="360"/>
        <w:jc w:val="both"/>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A resolution or ordinance adopted by a city in accordance with this chapter to assume jurisdiction of all or part of a district may not take effect until ninety or more days after its adoption.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2006 c 311 s 9 are each amended to read as follows:</w:t>
      </w:r>
    </w:p>
    <w:p>
      <w:pPr>
        <w:ind w:left="0" w:right="0" w:firstLine="360"/>
        <w:jc w:val="both"/>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may exceed seventy-five words. If the local governmental unit is a city or a town, </w:t>
      </w:r>
      <w:r>
        <w:rPr>
          <w:u w:val="single"/>
        </w:rPr>
        <w:t xml:space="preserve">or if the ballot title is for a referendum under section 1 of this act,</w:t>
      </w:r>
      <w:r>
        <w:rPr/>
        <w:t xml:space="preserve"> the concise statement shall be prepared by the city or town attorney. If the local governmental unit is a county, the concise statement shall be prepared by the prosecuting attorney of the county. If the unit is a unit of local government other than a city, town, or county, the concise statement shall be prepared by the prosecuting attorney of the county within which the majority area of the unit is located.</w:t>
      </w:r>
    </w:p>
    <w:p>
      <w:pPr>
        <w:ind w:left="0" w:right="0" w:firstLine="360"/>
        <w:jc w:val="both"/>
      </w:pPr>
      <w:r>
        <w:rPr/>
        <w:t xml:space="preserve">(2) A referendum measure on the enactment of a unit of local government shall be advertised in the manner provided for nominees for elective office.</w:t>
      </w:r>
    </w:p>
    <w:p>
      <w:pPr>
        <w:ind w:left="0" w:right="0" w:firstLine="360"/>
        <w:jc w:val="both"/>
      </w:pPr>
      <w:r>
        <w:rPr/>
        <w:t xml:space="preserve">(3) Subsection (1) of this section does not apply if another provision of law specifies the ballot title for a specific type of ballot question or proposition.</w:t>
      </w:r>
    </w:p>
    <w:p/>
    <w:p>
      <w:pPr>
        <w:jc w:val="center"/>
      </w:pPr>
      <w:r>
        <w:rPr>
          <w:b/>
        </w:rPr>
        <w:t>--- END ---</w:t>
      </w:r>
    </w:p>
    <w:sectPr>
      <w:pgNumType w:start="1"/>
      <w:footerReference xmlns:r="http://schemas.openxmlformats.org/officeDocument/2006/relationships" r:id="R1989127a88964c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68cb1e3534dd5" /><Relationship Type="http://schemas.openxmlformats.org/officeDocument/2006/relationships/footer" Target="/word/footer.xml" Id="R1989127a88964c18" /></Relationships>
</file>