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a76b448ee4f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5988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1, 2015</w:t>
            </w:r>
          </w:p>
          <w:p>
            <w:pPr>
              <w:ind w:left="0" w:right="0" w:firstLine="360"/>
            </w:pPr>
            <w:r>
              <w:t xml:space="preserve">Yeas </w:t>
              <w:t xml:space="preserve">38</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61</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SECOND ENGROSSED SUBSTITUTE SENATE BILL 5988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5988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46.68.060, 46.68.280, 46.68.290, and 47.60.530; amending 2015 1st sp.s. c 10 s 212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June 28,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motor vehicle account</w:t>
      </w:r>
      <w:r>
        <w:rPr>
          <w:rFonts w:ascii="Times New Roman" w:hAnsi="Times New Roman"/>
        </w:rPr>
        <w:t xml:space="preserve">—</w:t>
      </w:r>
      <w:r>
        <w:rPr/>
        <w:t xml:space="preserve">state appropriation is for the joint transportation committee for the design-build contracting review study established in chapter . . . (Second Engrossed Substitute Senate Bill No. 5997), Laws of 2015 3rd sp. sess. The department of transportation must provide technical assistance, as necessary. If chapter . . . (Second Engrossed Substitute Senate Bill No. 5997), Laws of 2015 3rd sp. sess. is not enacted by July 31, 2015, the amount provided in this subsection lapses.</w:t>
      </w:r>
    </w:p>
    <w:p>
      <w:pPr>
        <w:spacing w:before="0" w:after="0" w:line="408" w:lineRule="exact"/>
        <w:ind w:left="0" w:right="0" w:firstLine="576"/>
        <w:jc w:val="left"/>
      </w:pPr>
      <w:r>
        <w:rPr/>
        <w:t xml:space="preserve">(2)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$4,000,000 of the motor vehicle account—state appropriation is provided solely for implementation of chapter . . . (Engrossed Substitute Senate Bill No. 5987) (transportation revenue),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 . . (Engrossed Substitute Senate Bill No. 5987),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120" w:after="0" w:line="408" w:lineRule="exact"/>
        <w:ind w:left="0" w:right="0" w:firstLine="576"/>
        <w:jc w:val="left"/>
      </w:pPr>
      <w:r>
        <w:rPr/>
        <w:t xml:space="preserve">The appropriation in this section is subject to the following conditions and limitations: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department shall: (1) Notify the private property owner or owners of the threat; (2) perform a risk assessment to the state highway infrastructure, personal property, and public safety or loss of life; (3) coordinate with the department of fish and wildlife to perform an environmental risk assessment and develop a suggested beaver management plan to reduce or eliminate the risk of failure; and (4) produce a joint agency management plan with the department of fish and wildlife for the site and involve local jurisdictions and nongovernmental organizations to help execute the recommendations as devised by the state agencies. Further, within that joint agency management plan, the department and department of fish and wildlife shall identify and prioritize potential remedies to include culvert replacement, infrastructure upgrade, wildlife management tools, dam maintenance, water level controls, and any other identifiable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motor vehicle account</w:t>
      </w:r>
      <w:r>
        <w:rPr>
          <w:rFonts w:ascii="Times New Roman" w:hAnsi="Times New Roman"/>
        </w:rPr>
        <w:t xml:space="preserve">—</w:t>
      </w:r>
      <w:r>
        <w:rPr/>
        <w:t xml:space="preserve">state appropriation is provided solely for a grant program that makes awards for the following: (1) Support for nonproject agencies, churches, and other entities to help provide outreach to populations underrepresented in the current apprenticeship programs; (2) preapprenticeship training; and (3)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$6,250,000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$22,109,000</w:t>
      </w:r>
    </w:p>
    <w:p>
      <w:pPr>
        <w:tabs>
          <w:tab w:val="right" w:leader="dot" w:pos="9936"/>
        </w:tabs>
        <w:ind w:left="0" w:right="0" w:firstLine="1440"/>
      </w:pPr>
      <w:r>
        <w:rPr/>
        <w:t xml:space="preserve">TOTAL APPROPRIATION</w:t>
      </w:r>
      <w:r>
        <w:tab/>
      </w:r>
      <w:r>
        <w:rPr/>
        <w:t xml:space="preserve">$31,797,000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$13,890,000 of the multimodal transportation account</w:t>
      </w:r>
      <w:r>
        <w:rPr>
          <w:rFonts w:ascii="Times New Roman" w:hAnsi="Times New Roman"/>
        </w:rPr>
        <w:t xml:space="preserve">—</w:t>
      </w:r>
      <w:r>
        <w:rPr/>
        <w:t xml:space="preserve">state appropriation is provided solely for projects identified in LEAP Transportation Document 2015 NL-3 as developed June 28,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(2) $5,000,000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$1,250,000 of the multimodal transportation account—state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(4) $3,438,000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(5) $969,000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0" w:after="0" w:line="408" w:lineRule="exact"/>
        <w:ind w:left="0" w:right="0" w:firstLine="576"/>
        <w:jc w:val="left"/>
      </w:pPr>
      <w:r>
        <w:rPr/>
        <w:t xml:space="preserve">(6) $1,000,000 of the multimodal transportation account—state appropriation is provided solely for transit coordination grants.</w:t>
      </w:r>
    </w:p>
    <w:p>
      <w:pPr>
        <w:spacing w:before="0" w:after="0" w:line="408" w:lineRule="exact"/>
        <w:ind w:left="0" w:right="0" w:firstLine="576"/>
        <w:jc w:val="left"/>
      </w:pPr>
      <w:r>
        <w:rPr/>
        <w:t xml:space="preserve">(7) $6,250,000 of the regional mobility grant program account—state appropriation is provided solely for the regional mobility grant program.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$1,922,000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$1,922,000</w:t>
      </w:r>
    </w:p>
    <w:p>
      <w:pPr>
        <w:tabs>
          <w:tab w:val="right" w:leader="dot" w:pos="9936"/>
        </w:tabs>
        <w:ind w:left="0" w:right="0" w:firstLine="1440"/>
      </w:pPr>
      <w:r>
        <w:rPr/>
        <w:t xml:space="preserve">TOTAL APPROPRIATION</w:t>
      </w:r>
      <w:r>
        <w:tab/>
      </w:r>
      <w:r>
        <w:rPr/>
        <w:t xml:space="preserve">$3,844,000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t xml:space="preserve">$5,501,000</w:t>
      </w:r>
    </w:p>
    <w:p>
      <w:pPr>
        <w:spacing w:before="120" w:after="0" w:line="408" w:lineRule="exact"/>
        <w:ind w:left="0" w:right="0" w:firstLine="576"/>
        <w:jc w:val="left"/>
      </w:pPr>
      <w:r>
        <w:rPr/>
        <w:t xml:space="preserve">The appropriations in this section are subject to the following conditions and limitations: $3,313,000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$1,094,000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$1,094,000</w:t>
      </w:r>
    </w:p>
    <w:p>
      <w:pPr>
        <w:tabs>
          <w:tab w:val="right" w:leader="dot" w:pos="9936"/>
        </w:tabs>
        <w:ind w:left="0" w:right="0" w:firstLine="1440"/>
      </w:pPr>
      <w:r>
        <w:rPr/>
        <w:t xml:space="preserve">TOTAL APPROPRIATION</w:t>
      </w:r>
      <w:r>
        <w:tab/>
      </w:r>
      <w:r>
        <w:rPr/>
        <w:t xml:space="preserve">$2,188,000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Management and Facilities Program (D).</w:t>
      </w:r>
    </w:p>
    <w:p>
      <w:pPr>
        <w:spacing w:before="0" w:after="0" w:line="408" w:lineRule="exact"/>
        <w:ind w:left="0" w:right="0" w:firstLine="576"/>
        <w:jc w:val="left"/>
      </w:pPr>
      <w:r>
        <w:rPr/>
        <w:t xml:space="preserve">(2) $10,000,000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$229,025,000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Improvements Program (I).</w:t>
      </w:r>
    </w:p>
    <w:p>
      <w:pPr>
        <w:spacing w:before="0" w:after="0" w:line="408" w:lineRule="exact"/>
        <w:ind w:left="0" w:right="0" w:firstLine="576"/>
        <w:jc w:val="left"/>
      </w:pPr>
      <w:r>
        <w:rPr/>
        <w:t xml:space="preserve">(2)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(3) Of the amounts allocated to the Puget Sound Gateway project (M00600R) in LEAP Transportation Document 2015 NL-1 as developed June 28, 2015,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(4)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$79,263,000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Highway Preservation Program (P).</w:t>
      </w:r>
    </w:p>
    <w:p>
      <w:pPr>
        <w:spacing w:before="0" w:after="0" w:line="408" w:lineRule="exact"/>
        <w:ind w:left="0" w:right="0" w:firstLine="576"/>
        <w:jc w:val="left"/>
      </w:pPr>
      <w:r>
        <w:rPr/>
        <w:t xml:space="preserve">(2)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$41,805,000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Washington State Ferries Capital Program (W).</w:t>
      </w:r>
    </w:p>
    <w:p>
      <w:pPr>
        <w:spacing w:before="0" w:after="0" w:line="408" w:lineRule="exact"/>
        <w:ind w:left="0" w:right="0" w:firstLine="576"/>
        <w:jc w:val="left"/>
      </w:pPr>
      <w:r>
        <w:rPr/>
        <w:t xml:space="preserve">(2)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(3)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(4)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(5) It is the intent of the legislature, over the sixteen-year new investment program, to provide $68,600,000 in state funds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$11,651,000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appropriation in this section is provided solely for the projects and activities as listed in LEAP Transportation Document 2015 NL-1 as developed June 28, 2015, Program – Rail Program (Y).</w:t>
      </w:r>
    </w:p>
    <w:p>
      <w:pPr>
        <w:spacing w:before="0" w:after="0" w:line="408" w:lineRule="exact"/>
        <w:ind w:left="0" w:right="0" w:firstLine="576"/>
        <w:jc w:val="left"/>
      </w:pPr>
      <w:r>
        <w:rPr/>
        <w:t xml:space="preserve">(2)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$13,494,000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$49,054,000</w:t>
      </w:r>
    </w:p>
    <w:p>
      <w:pPr>
        <w:tabs>
          <w:tab w:val="right" w:leader="dot" w:pos="9936"/>
        </w:tabs>
        <w:ind w:left="0" w:right="0" w:firstLine="1440"/>
      </w:pPr>
      <w:r>
        <w:rPr/>
        <w:t xml:space="preserve">TOTAL APPROPRIATION</w:t>
      </w:r>
      <w:r>
        <w:tab/>
      </w:r>
      <w:r>
        <w:rPr/>
        <w:t xml:space="preserve">$67,848,000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Local Programs (Z).</w:t>
      </w:r>
    </w:p>
    <w:p>
      <w:pPr>
        <w:spacing w:before="0" w:after="0" w:line="408" w:lineRule="exact"/>
        <w:ind w:left="0" w:right="0" w:firstLine="576"/>
        <w:jc w:val="left"/>
      </w:pPr>
      <w:r>
        <w:rPr/>
        <w:t xml:space="preserve">(2) $2,344,000 of the multimodal transportation account</w:t>
      </w:r>
      <w:r>
        <w:rPr>
          <w:rFonts w:ascii="Times New Roman" w:hAnsi="Times New Roman"/>
        </w:rPr>
        <w:t xml:space="preserve">—</w:t>
      </w:r>
      <w:r>
        <w:rPr/>
        <w:t xml:space="preserve">state appropriation is provided solely for the pedestrian and bicycle safety grant program (L2000188).</w:t>
      </w:r>
    </w:p>
    <w:p>
      <w:pPr>
        <w:spacing w:before="0" w:after="0" w:line="408" w:lineRule="exact"/>
        <w:ind w:left="0" w:right="0" w:firstLine="576"/>
        <w:jc w:val="left"/>
      </w:pPr>
      <w:r>
        <w:rPr/>
        <w:t xml:space="preserve">(3) $1,750,000 of the multimodal transportation account</w:t>
      </w:r>
      <w:r>
        <w:rPr>
          <w:rFonts w:ascii="Times New Roman" w:hAnsi="Times New Roman"/>
        </w:rPr>
        <w:t xml:space="preserve">—</w:t>
      </w:r>
      <w:r>
        <w:rPr/>
        <w:t xml:space="preserve">state appropriation and $5,300,000 of the motor vehicle account</w:t>
      </w:r>
      <w:r>
        <w:rPr>
          <w:rFonts w:ascii="Times New Roman" w:hAnsi="Times New Roman"/>
        </w:rPr>
        <w:t xml:space="preserve">—</w:t>
      </w:r>
      <w:r>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(4) $9,400,000 of the multimodal transportation account—state appropriation is provided solely for bicycle and pedestrian projects listed in LEAP Transportation Document 2015 NL-4 as developed June 28,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(5)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STAFFING LEVELS</w:t>
      </w:r>
    </w:p>
    <w:p>
      <w:pPr>
        <w:spacing w:before="0" w:after="0" w:line="408" w:lineRule="exact"/>
        <w:ind w:left="0" w:right="0" w:firstLine="576"/>
        <w:jc w:val="left"/>
      </w:pPr>
      <w:r>
        <w:rPr/>
        <w:t xml:space="preserve">(1) As the department of transportation prepares to deliver the projects funded by the 2015 transportation revenue package, the department shall quickly develop and implement the construction program business plan so that future staffing levels are sustainable and meet necessary skill sets. This can be done effectively and efficiently in close partnership with the private sector.</w:t>
      </w:r>
    </w:p>
    <w:p>
      <w:pPr>
        <w:spacing w:before="0" w:after="0" w:line="408" w:lineRule="exact"/>
        <w:ind w:left="0" w:right="0" w:firstLine="576"/>
        <w:jc w:val="left"/>
      </w:pPr>
      <w:r>
        <w:rPr/>
        <w:t xml:space="preserve">(2) To this end, the department of transportation shall maintain the size of its engineering and technical workforce at levels that approximate the staffing levels currently in place, realizing that minor adjustments will be needed to meet project delivery goals.</w:t>
      </w:r>
    </w:p>
    <w:p>
      <w:pPr>
        <w:spacing w:before="0" w:after="0" w:line="408" w:lineRule="exact"/>
        <w:ind w:left="0" w:right="0" w:firstLine="576"/>
        <w:jc w:val="left"/>
      </w:pPr>
      <w:r>
        <w:rPr/>
        <w:t xml:space="preserve">(3) To successfully deliver the highway construction program as funded, the department of transportation may continue to utilize private consulting firms for engineering and technical service delivery.</w:t>
      </w:r>
    </w:p>
    <w:p>
      <w:pPr>
        <w:spacing w:before="0" w:after="0" w:line="408" w:lineRule="exact"/>
        <w:ind w:left="0" w:right="0" w:firstLine="576"/>
        <w:jc w:val="left"/>
      </w:pPr>
      <w:r>
        <w:rPr/>
        <w:t xml:space="preserve">(4) The department shall provide a report regarding engineering employee recruitment and retention issues affecting program oversight and delivery. In addition to salary survey market data, the report must consider employee compensation issues for engineering and technical positions that may hinder the recruitment and retention of a quality core workforce in preliminary engineering, design, and construction programs. The report must provide recommendations to the legislature and governor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2015 NL-1 as developed June 28, 2015.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highway safety fund to the Puget Sound ferry operations account, the motor vehicle fund, and the multimodal transportation account such amounts as reflect the excess fund balance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212</w:t>
      </w:r>
      <w:r>
        <w:rPr/>
        <w:t xml:space="preserve"> (uncodified) is amended to read as follows:</w:t>
      </w:r>
    </w:p>
    <w:p>
      <w:pPr>
        <w:spacing w:before="0" w:after="0" w:line="408" w:lineRule="exact"/>
        <w:ind w:left="0" w:right="0" w:firstLine="576"/>
        <w:jc w:val="left"/>
      </w:pP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w:t>
      </w:r>
      <w:r>
        <w:rPr>
          <w:u w:val="single"/>
        </w:rPr>
        <w:t xml:space="preserve">3rd sp. sess.</w:t>
      </w:r>
      <w:r>
        <w:rPr/>
        <w:t xml:space="preserve"> (aircraft excise taxes) is not enacted by </w:t>
      </w:r>
      <w:r>
        <w:t>((</w:t>
      </w:r>
      <w:r>
        <w:rPr>
          <w:strike/>
        </w:rPr>
        <w:t xml:space="preserve">June 30</w:t>
      </w:r>
      <w:r>
        <w:t>))</w:t>
      </w:r>
      <w:r>
        <w:rPr/>
        <w:t xml:space="preserve"> </w:t>
      </w:r>
      <w:r>
        <w:rPr>
          <w:u w:val="single"/>
        </w:rPr>
        <w:t xml:space="preserve">July 31</w:t>
      </w:r>
      <w:r>
        <w:rPr/>
        <w:t xml:space="preserve">, 2015, </w:t>
      </w:r>
      <w:r>
        <w:rPr>
          <w:u w:val="single"/>
        </w:rPr>
        <w:t xml:space="preserve">chapter . . . (Substitute Senate Bill No. 6057) Laws of 2015 3rd sp. sess. (relating to revenue) is not enacted by July 31, 2015,</w:t>
      </w:r>
      <w:r>
        <w:rPr/>
        <w:t xml:space="preserve"> and an expenditure to the aeronautics account is not provided in the 2015-2017 omnibus appropriations act by </w:t>
      </w:r>
      <w:r>
        <w:t>((</w:t>
      </w:r>
      <w:r>
        <w:rPr>
          <w:strike/>
        </w:rPr>
        <w:t xml:space="preserve">June 30</w:t>
      </w:r>
      <w:r>
        <w:t>))</w:t>
      </w:r>
      <w:r>
        <w:rPr/>
        <w:t xml:space="preserve"> </w:t>
      </w:r>
      <w:r>
        <w:rPr>
          <w:u w:val="single"/>
        </w:rPr>
        <w:t xml:space="preserve">July 31</w:t>
      </w:r>
      <w:r>
        <w:rPr/>
        <w:t xml:space="preserve">,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d98969e1e045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1bfceb8fb469e" /><Relationship Type="http://schemas.openxmlformats.org/officeDocument/2006/relationships/footer" Target="/word/footer.xml" Id="R15d98969e1e045a8" /></Relationships>
</file>