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b396604de4f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6117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6117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6117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 Sheldon)</w:t>
      </w:r>
    </w:p>
    <w:p/>
    <w:p>
      <w:r>
        <w:rPr>
          <w:t xml:space="preserve">READ FIRST TIME 01/26/16.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against trespass; reenacting and amending RCW 9A.52.010;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t xml:space="preserve">(4)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p>
    <w:p>
      <w:pPr>
        <w:spacing w:before="0" w:after="0" w:line="408" w:lineRule="exact"/>
        <w:ind w:left="0" w:right="0" w:firstLine="576"/>
        <w:jc w:val="left"/>
      </w:pPr>
      <w:r>
        <w:rPr/>
        <w:t xml:space="preserve">(5)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rPr/>
        <w:t xml:space="preserve">(6) </w:t>
      </w:r>
      <w:r>
        <w:rPr>
          <w:u w:val="single"/>
        </w:rPr>
        <w:t xml:space="preserve">"Posting in a conspicuous manner" includes posting a sign or signs reasonably likely to come to the attention of intruders, indicating that entry is restricted or, if the property is located outside of urban growth areas and incorporated cities or towns, the placement of identifying fluorescent orange paint marks on trees or posts on property. Both signs and paint may be used.</w:t>
      </w:r>
    </w:p>
    <w:p>
      <w:pPr>
        <w:spacing w:before="0" w:after="0" w:line="408" w:lineRule="exact"/>
        <w:ind w:left="0" w:right="0" w:firstLine="576"/>
        <w:jc w:val="left"/>
      </w:pPr>
      <w:r>
        <w:rPr>
          <w:u w:val="single"/>
        </w:rPr>
        <w:t xml:space="preserve">(a) Identifying fluorescent orange marks must be:</w:t>
      </w:r>
    </w:p>
    <w:p>
      <w:pPr>
        <w:spacing w:before="0" w:after="0" w:line="408" w:lineRule="exact"/>
        <w:ind w:left="0" w:right="0" w:firstLine="576"/>
        <w:jc w:val="left"/>
      </w:pPr>
      <w:r>
        <w:rPr>
          <w:u w:val="single"/>
        </w:rPr>
        <w:t xml:space="preserve">(i) Vertical lines approximately twelve inches in length and not less than one inch in width;</w:t>
      </w:r>
    </w:p>
    <w:p>
      <w:pPr>
        <w:spacing w:before="0" w:after="0" w:line="408" w:lineRule="exact"/>
        <w:ind w:left="0" w:right="0" w:firstLine="576"/>
        <w:jc w:val="left"/>
      </w:pPr>
      <w:r>
        <w:rPr>
          <w:u w:val="single"/>
        </w:rPr>
        <w:t xml:space="preserve">(ii) Placed so that the bottom of the mark is between three and five feet from the ground; and</w:t>
      </w:r>
    </w:p>
    <w:p>
      <w:pPr>
        <w:spacing w:before="0" w:after="0" w:line="408" w:lineRule="exact"/>
        <w:ind w:left="0" w:right="0" w:firstLine="576"/>
        <w:jc w:val="left"/>
      </w:pPr>
      <w:r>
        <w:rPr>
          <w:u w:val="single"/>
        </w:rPr>
        <w:t xml:space="preserve">(iii) Placed at locations that are readily visible to any person approaching the property and no more than one hundred feet apart on</w:t>
      </w:r>
      <w:r>
        <w:rPr/>
        <w:t xml:space="preserve"> </w:t>
      </w:r>
      <w:r>
        <w:rPr>
          <w:u w:val="single"/>
        </w:rPr>
        <w:t xml:space="preserve">forest land, as defined in RCW 76.09.020, or one thousand feet apart on land other than forestland.</w:t>
      </w:r>
    </w:p>
    <w:p>
      <w:pPr>
        <w:spacing w:before="0" w:after="0" w:line="408" w:lineRule="exact"/>
        <w:ind w:left="0" w:right="0" w:firstLine="576"/>
        <w:jc w:val="left"/>
      </w:pPr>
      <w:r>
        <w:rPr>
          <w:u w:val="single"/>
        </w:rPr>
        <w:t xml:space="preserve">(b) Paint may not be used for posting in a conspicuous manner on a road or driveway approved by the owner for motorized access where vehicles can enter the property.</w:t>
      </w:r>
    </w:p>
    <w:p>
      <w:pPr>
        <w:spacing w:before="0" w:after="0" w:line="408" w:lineRule="exact"/>
        <w:ind w:left="0" w:right="0" w:firstLine="576"/>
        <w:jc w:val="left"/>
      </w:pPr>
      <w:r>
        <w:rPr>
          <w:u w:val="single"/>
        </w:rPr>
        <w:t xml:space="preserve">(7)</w:t>
      </w:r>
      <w:r>
        <w:rPr/>
        <w:t xml:space="preserve"> "Premises" includes any building, dwelling, structure used for commercial aquaculture, or any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the department of natural resources, and the parks and recreation commission are encouraged to use their web sites and appropriate publications to inform the public that vertical orange marks on trees or posts may indicate a private boundary line and crossing it without first securing the owner's permission is trespassing.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c830b8d03feb42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25db13a604b9d" /><Relationship Type="http://schemas.openxmlformats.org/officeDocument/2006/relationships/footer" Target="/word/footer.xml" Id="Rc830b8d03feb426b" /></Relationships>
</file>