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0d9ddce86c4a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6325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2016</w:t>
            </w:r>
          </w:p>
          <w:p>
            <w:pPr>
              <w:ind w:left="0" w:right="0" w:firstLine="360"/>
            </w:pPr>
            <w:r>
              <w:t xml:space="preserve">Yeas </w:t>
              <w:t xml:space="preserve">42</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88</w:t>
            </w:r>
            <w:r>
              <w:t xml:space="preserve">  Nays </w:t>
              <w:t xml:space="preserve">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6325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6325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Baumgartner, Ranker, and Bailey</w:t>
      </w:r>
    </w:p>
    <w:p/>
    <w:p>
      <w:r>
        <w:rPr>
          <w:t xml:space="preserve">Read first time 01/15/16.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alcohol content definition of cider with the federal definition; and amending RCW 66.24.210.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2012 c 20 s 2 are each amended to read as follows:</w:t>
      </w:r>
    </w:p>
    <w:p>
      <w:pPr>
        <w:spacing w:before="0" w:after="0" w:line="408" w:lineRule="exact"/>
        <w:ind w:left="0" w:right="0" w:firstLine="576"/>
        <w:jc w:val="left"/>
      </w:pPr>
      <w:r>
        <w:rPr/>
        <w:t xml:space="preserve">(1) There is hereby imposed upon all wines except cider sold to wine distributors and the Washington state liquor </w:t>
      </w:r>
      <w:r>
        <w:t>((</w:t>
      </w:r>
      <w:r>
        <w:rPr>
          <w:strike/>
        </w:rPr>
        <w:t xml:space="preserve">control</w:t>
      </w:r>
      <w:r>
        <w:t>))</w:t>
      </w:r>
      <w:r>
        <w:rPr/>
        <w:t xml:space="preserve"> </w:t>
      </w:r>
      <w:r>
        <w:rPr>
          <w:u w:val="single"/>
        </w:rPr>
        <w:t xml:space="preserve">and cannabis</w:t>
      </w:r>
      <w:r>
        <w:rPr/>
        <w:t xml:space="preserve"> board, within the state a tax at the rate of twenty and one-fourth cents per liter. Any domestic winery or certificate of approval holder acting as a distributor of its own production shall pay taxes imposed by this section. There is hereby imposed on all cider sold to wine distributors and the Washington state liquor </w:t>
      </w:r>
      <w:r>
        <w:t>((</w:t>
      </w:r>
      <w:r>
        <w:rPr>
          <w:strike/>
        </w:rPr>
        <w:t xml:space="preserve">control</w:t>
      </w:r>
      <w:r>
        <w:t>))</w:t>
      </w:r>
      <w:r>
        <w:rPr/>
        <w:t xml:space="preserve"> </w:t>
      </w:r>
      <w:r>
        <w:rPr>
          <w:u w:val="single"/>
        </w:rPr>
        <w:t xml:space="preserve">and cannabis</w:t>
      </w:r>
      <w:r>
        <w:rPr/>
        <w:t xml:space="preserve"> board within the state a tax at the rate of three and fifty-nine one-hundredths cents per liter. However, wine sold or shipped in bulk from one winery to another winery shall not be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shall on or before the twentieth day of each month report to the board all purchases during the preceding calendar month in such manner and upon such forms as may be prescribed by the board, and with such report shall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forthwith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shall make monthly reports to the liquor </w:t>
      </w:r>
      <w:r>
        <w:t>((</w:t>
      </w:r>
      <w:r>
        <w:rPr>
          <w:strike/>
        </w:rPr>
        <w:t xml:space="preserve">control</w:t>
      </w:r>
      <w:r>
        <w:t>))</w:t>
      </w:r>
      <w:r>
        <w:rPr/>
        <w:t xml:space="preserve"> </w:t>
      </w:r>
      <w:r>
        <w:rPr>
          <w:u w:val="single"/>
        </w:rPr>
        <w:t xml:space="preserve">and cannabis</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shall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shall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w:t>
      </w:r>
      <w:r>
        <w:t>((</w:t>
      </w:r>
      <w:r>
        <w:rPr>
          <w:strike/>
        </w:rPr>
        <w:t xml:space="preserve">seven</w:t>
      </w:r>
      <w:r>
        <w:t>))</w:t>
      </w:r>
      <w:r>
        <w:rPr/>
        <w:t xml:space="preserve"> </w:t>
      </w:r>
      <w:r>
        <w:rPr>
          <w:u w:val="single"/>
        </w:rPr>
        <w:t xml:space="preserve">eight and one-half</w:t>
      </w:r>
      <w:r>
        <w:rPr/>
        <w:t xml:space="preserve">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w:t>
      </w:r>
      <w:r>
        <w:rPr/>
        <w:noBreakHyphen/>
      </w:r>
      <w:r>
        <w:rPr/>
        <w:t xml:space="preserve">of</w:t>
      </w:r>
      <w:r>
        <w:rPr/>
        <w:noBreakHyphen/>
      </w:r>
      <w:r>
        <w:rPr/>
        <w:t xml:space="preserve">state wineries shall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
      <w:pPr>
        <w:jc w:val="center"/>
      </w:pPr>
      <w:r>
        <w:rPr>
          <w:b/>
        </w:rPr>
        <w:t>--- END ---</w:t>
      </w:r>
    </w:p>
    <w:sectPr>
      <w:pgNumType w:start="1"/>
      <w:footerReference xmlns:r="http://schemas.openxmlformats.org/officeDocument/2006/relationships" r:id="Rd39f7ddb2f5b44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1dcc94c9ad4175" /><Relationship Type="http://schemas.openxmlformats.org/officeDocument/2006/relationships/footer" Target="/word/footer.xml" Id="Rd39f7ddb2f5b44f3" /></Relationships>
</file>