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8df16cdab43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6427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7, 2016</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6427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6427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Ways &amp; Means (originally sponsored by Senators Fain, Hargrove, Keiser, Honeyford, Rolfes, and Roach)</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specifying the documentation that must be provided to determine when sales tax applies to the sale of a motor vehicle to a tribal member; and adding a new section to chapter 82.08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which must be signed by the seller and the buyer. The declaration must be limited to attestation regarding the location of delivery and the enrollment status of the tribal member. The department may develop a form for the declaration.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Nothing in this section may be construed to affect, amend, or modify federal law or Washington state tax law as applied to a tribal member or tribe.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18 U.S.C. Sec. 1151.</w:t>
      </w:r>
    </w:p>
    <w:p>
      <w:pPr>
        <w:spacing w:before="0" w:after="0" w:line="408" w:lineRule="exact"/>
        <w:ind w:left="0" w:right="0" w:firstLine="576"/>
        <w:jc w:val="left"/>
      </w:pPr>
      <w:r>
        <w:rPr/>
        <w:t xml:space="preserve">(b) "Tribe" means a federally recognized tribe.</w:t>
      </w:r>
    </w:p>
    <w:p>
      <w:pPr>
        <w:spacing w:before="0" w:after="0" w:line="408" w:lineRule="exact"/>
        <w:ind w:left="0" w:right="0" w:firstLine="576"/>
        <w:jc w:val="left"/>
      </w:pPr>
      <w:r>
        <w:rPr/>
        <w:t xml:space="preserve">(c) "Tribal member" means an enrolled member of a federally recognized tribe.</w:t>
      </w:r>
    </w:p>
    <w:p/>
    <w:p>
      <w:pPr>
        <w:jc w:val="center"/>
      </w:pPr>
      <w:r>
        <w:rPr>
          <w:b/>
        </w:rPr>
        <w:t>--- END ---</w:t>
      </w:r>
    </w:p>
    <w:sectPr>
      <w:pgNumType w:start="1"/>
      <w:footerReference xmlns:r="http://schemas.openxmlformats.org/officeDocument/2006/relationships" r:id="R5a2c3b84caff42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6427.PL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12f01c67ae44f7" /><Relationship Type="http://schemas.openxmlformats.org/officeDocument/2006/relationships/footer" Target="/word/footer.xml" Id="R5a2c3b84caff4256" /></Relationships>
</file>