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df8d3ca43b4a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6470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6470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King, Hasegawa, Conway, Keiser, Hewitt, Rivers, and Chase)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concerning wineries in respect to the licensing of private collections of wine, allowing wineries to make sales for off-premises consumption at special occasion licensed events, modifying special occasion licenses, and making certain related technical corrections; amending RCW 66.24.380, 66.12.110, 66.12.120, 66.12.240, 66.20.170, 66.20.180, 66.20.190, 66.20.200, 66.20.210, 66.24.210, 66.28.030, 66.28.035, 66.28.040, and 66.44.350; reenacting and amending RCW 66.24.170 and 66.20.010; creating a new section;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Wine produced by the domestic winery may be served for on-premises consumption by the special occasion licensee;</w:t>
      </w:r>
    </w:p>
    <w:p>
      <w:pPr>
        <w:spacing w:before="0" w:after="0" w:line="408" w:lineRule="exact"/>
        <w:ind w:left="0" w:right="0" w:firstLine="576"/>
        <w:jc w:val="left"/>
      </w:pPr>
      <w:r>
        <w:rPr>
          <w:u w:val="single"/>
        </w:rPr>
        <w:t xml:space="preserve">(b) The domestic winery delivers wine to the consumer on a date after the conclusion of the special occasion event;</w:t>
      </w:r>
    </w:p>
    <w:p>
      <w:pPr>
        <w:spacing w:before="0" w:after="0" w:line="408" w:lineRule="exact"/>
        <w:ind w:left="0" w:right="0" w:firstLine="576"/>
        <w:jc w:val="left"/>
      </w:pPr>
      <w:r>
        <w:rPr>
          <w:u w:val="single"/>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(d) The domestic winery complies with all requirements in chapter 66.20 RCW for direct sale of wine to consumers;</w:t>
      </w:r>
    </w:p>
    <w:p>
      <w:pPr>
        <w:spacing w:before="0" w:after="0" w:line="408" w:lineRule="exact"/>
        <w:ind w:left="0" w:right="0" w:firstLine="576"/>
        <w:jc w:val="left"/>
      </w:pPr>
      <w:r>
        <w:rPr>
          <w:u w:val="single"/>
        </w:rPr>
        <w:t xml:space="preserve">(e) The wine is not sold for resale; and</w:t>
      </w:r>
    </w:p>
    <w:p>
      <w:pPr>
        <w:spacing w:before="0" w:after="0" w:line="408" w:lineRule="exact"/>
        <w:ind w:left="0" w:right="0" w:firstLine="576"/>
        <w:jc w:val="left"/>
      </w:pPr>
      <w:r>
        <w:rPr>
          <w:u w:val="single"/>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
      <w:pPr>
        <w:jc w:val="center"/>
      </w:pPr>
      <w:r>
        <w:rPr>
          <w:b/>
        </w:rPr>
        <w:t>--- END ---</w:t>
      </w:r>
    </w:p>
    <w:sectPr>
      <w:pgNumType w:start="1"/>
      <w:footerReference xmlns:r="http://schemas.openxmlformats.org/officeDocument/2006/relationships" r:id="R6119510d22a0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08dfe7ef945fa" /><Relationship Type="http://schemas.openxmlformats.org/officeDocument/2006/relationships/footer" Target="/word/footer.xml" Id="R6119510d22a047d5" /></Relationships>
</file>