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51aa232ed40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1061</w:t>
      </w:r>
    </w:p>
    <w:p>
      <w:pPr>
        <w:jc w:val="center"/>
        <w:spacing w:before="480" w:after="0" w:line="240"/>
      </w:pPr>
      <w:r>
        <w:t xml:space="preserve">Chapter </w:t>
      </w:r>
      <w:r>
        <w:rPr/>
        <w:t xml:space="preserve">25</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SKAGIT COUNTY--DISTRICT COURT JUDGES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4:07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Hayes, Lytton, Smith, Gregerson, Moeller, and Buys; by request of Board For Judicial Administration</w:t>
      </w:r>
    </w:p>
    <w:p/>
    <w:p>
      <w:r>
        <w:rPr>
          <w:t xml:space="preserve">Prefiled 12/31/14.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district court judges in Skagit county; amending RCW 3.34.010;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2011 c 43 s 1 are each amended to read as follows:</w:t>
      </w:r>
    </w:p>
    <w:p>
      <w:pPr>
        <w:spacing w:before="0" w:after="0" w:line="408" w:lineRule="exact"/>
        <w:ind w:left="0" w:right="0" w:firstLine="576"/>
        <w:jc w:val="left"/>
      </w:pPr>
      <w:r>
        <w:rPr/>
        <w:t xml:space="preserve">The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w:t>
      </w:r>
      <w:r>
        <w:t>((</w:t>
      </w:r>
      <w:r>
        <w:rPr>
          <w:strike/>
        </w:rPr>
        <w:t xml:space="preserve">two</w:t>
      </w:r>
      <w:r>
        <w:t>))</w:t>
      </w:r>
      <w:r>
        <w:rPr>
          <w:u w:val="single"/>
        </w:rPr>
        <w:t xml:space="preserve">three</w:t>
      </w:r>
      <w:r>
        <w:rPr/>
        <w:t xml:space="preserve">; Skamania, one; Snohomish, eight;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additional judicial position created by section 1 of this act in Skagit county becomes effective only if the county, through its duly constituted legislative authority, documents its approval of the additional position and its agreement that it will pay out of county funds, without reimbursement from the state, the expenses of the additional judicial position as provided by statute.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5dd13c69115148d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d991fae6e4c80" /><Relationship Type="http://schemas.openxmlformats.org/officeDocument/2006/relationships/footer" Target="/word/footer.xml" Id="R5dd13c69115148d3" /></Relationships>
</file>