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24a3533394d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1281</w:t>
      </w:r>
    </w:p>
    <w:p>
      <w:pPr>
        <w:jc w:val="center"/>
        <w:spacing w:before="480" w:after="0" w:line="240"/>
      </w:pPr>
      <w:r>
        <w:t xml:space="preserve">Chapter </w:t>
      </w:r>
      <w:r>
        <w:rPr/>
        <w:t xml:space="preserve">279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SEXUAL EXPLOITATION OF MINORS--CHILD RESCUE FUND</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44</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1281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1:44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Sawyer, Orwall, Hurst, Blake, Stokesbary, Tarleton, Walsh, Kirby, Appleton, G. Hunt, Pettigrew, Jinkins, Carlyle, Fey, Ortiz-Self, Senn, Walkinshaw, Moeller, Kilduff, Robinson, Van De Wege, Stanford, Ryu, Lytton, Sells, Riccelli, Kagi, Bergquist, Clibborn, Santos, Buys, and Gregerson)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exploitation of minors; adding new sections to chapter 9.68A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sexual abuse and exploitation of children robs victims of their childhood and irrevocably interferes with their emotional and psychological development. Victims of child pornography often experience severe and lasting harm from the permanent memorialization of the crimes committed against them. Child victims endure depression, withdrawal, anger, and other psychological disorders. Victims also experience feelings of guilt and responsibility for the sexual abuse as well as feelings of betrayal, powerlessness, worthlessness, and low self-esteem. Each and every time such an image is viewed, traded, printed, or downloaded, the child in that image is victimized again.</w:t>
      </w:r>
    </w:p>
    <w:p>
      <w:pPr>
        <w:spacing w:before="0" w:after="0" w:line="408" w:lineRule="exact"/>
        <w:ind w:left="0" w:right="0" w:firstLine="576"/>
        <w:jc w:val="left"/>
      </w:pPr>
      <w:r>
        <w:rPr/>
        <w:t xml:space="preserve">The legislature finds that the expansion of the internet and computer-related technologies have led to a dramatic increase in the availability of child pornography by simplifying how it can be created, distributed, and collected. Investigators and prosecutors report dramatic increases in the number and violent character of the sexually abusive images of children being trafficked through the internet.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The legislature finds that due to a lack of dedicated resources, only two percent of known child exploitation offenders are being investigated. The legislature finds that additional funding sources are needed to ensure that law enforcement agencies can adequately investigate and prosecute offenders and victims can receive necessary services, including mental health treatment. Finally, the legislature finds that offenders convicted of crimes relating to child pornography should bear the high cost of investigations and prosecutions of these crimes and also the cost of providing services to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In addition to penalties set forth in RCW 9.68A.070, a person who is convicted of violating RCW 9.68A.070 shall be assessed a fee of one thousand dollars for each depiction or image of visual or printed matter that constitutes a separate conviction.</w:t>
      </w:r>
    </w:p>
    <w:p>
      <w:pPr>
        <w:spacing w:before="0" w:after="0" w:line="408" w:lineRule="exact"/>
        <w:ind w:left="0" w:right="0" w:firstLine="576"/>
        <w:jc w:val="left"/>
      </w:pPr>
      <w:r>
        <w:rPr/>
        <w:t xml:space="preserve">(2) Fees assessed under this section shall be collected by the clerk of the court and remitted to the state treasurer for deposit into the child rescue fund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The child rescue fund is created in the custody of the state treasurer. All receipts from fees collected under section 2 of this act must be deposited into the fund.</w:t>
      </w:r>
    </w:p>
    <w:p>
      <w:pPr>
        <w:spacing w:before="0" w:after="0" w:line="408" w:lineRule="exact"/>
        <w:ind w:left="0" w:right="0" w:firstLine="576"/>
        <w:jc w:val="left"/>
      </w:pPr>
      <w:r>
        <w:rPr/>
        <w:t xml:space="preserve">(2) Only the attorney general for the state of Washington or the attorney general's designee may authorize expenditures from the fund.</w:t>
      </w:r>
    </w:p>
    <w:p>
      <w:pPr>
        <w:spacing w:before="0" w:after="0" w:line="408" w:lineRule="exact"/>
        <w:ind w:left="0" w:right="0" w:firstLine="576"/>
        <w:jc w:val="left"/>
      </w:pPr>
      <w:r>
        <w:rPr/>
        <w:t xml:space="preserve">(3) The attorney general or his or her designee must make any expenditures from the fund according to the following schedule:</w:t>
      </w:r>
    </w:p>
    <w:p>
      <w:pPr>
        <w:spacing w:before="0" w:after="0" w:line="408" w:lineRule="exact"/>
        <w:ind w:left="0" w:right="0" w:firstLine="576"/>
        <w:jc w:val="left"/>
      </w:pPr>
      <w:r>
        <w:rPr/>
        <w:t xml:space="preserve">(a) Twenty-five percent of receipts for grants to child advocacy centers, as defined in RCW 26.44.020; and</w:t>
      </w:r>
    </w:p>
    <w:p>
      <w:pPr>
        <w:spacing w:before="0" w:after="0" w:line="408" w:lineRule="exact"/>
        <w:ind w:left="0" w:right="0" w:firstLine="576"/>
        <w:jc w:val="left"/>
      </w:pPr>
      <w:r>
        <w:rPr/>
        <w:t xml:space="preserve">(b) Seventy-five percent of receipts for grants to the Washington internet crimes against children task force for use in investigations and prosecutions of crimes against children.</w:t>
      </w:r>
    </w:p>
    <w:p>
      <w:pPr>
        <w:spacing w:before="0" w:after="0" w:line="408" w:lineRule="exact"/>
        <w:ind w:left="0" w:right="0" w:firstLine="576"/>
        <w:jc w:val="left"/>
      </w:pPr>
      <w:r>
        <w:rPr/>
        <w:t xml:space="preserve">(4) The fund is subject to the allotment procedures under chapter 43.88 RCW, but an appropriation is not required for expenditures.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f59bba04edc7455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4381598a44ca0" /><Relationship Type="http://schemas.openxmlformats.org/officeDocument/2006/relationships/footer" Target="/word/footer.xml" Id="Rf59bba04edc74555" /></Relationships>
</file>