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d3d5f7baa49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1570</w:t>
      </w:r>
    </w:p>
    <w:p>
      <w:pPr>
        <w:jc w:val="center"/>
        <w:spacing w:before="480" w:after="0" w:line="240"/>
      </w:pPr>
      <w:r>
        <w:t xml:space="preserve">Chapter </w:t>
      </w:r>
      <w:r>
        <w:rPr/>
        <w:t xml:space="preserve">9</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EDUCATOR RETOOLING CONDITIONAL SCHOLARSHIP PROGRAM</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54</w:t>
            </w:r>
            <w:r>
              <w:t xml:space="preserve">  Nays </w:t>
              <w:t xml:space="preserve">44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37</w:t>
            </w:r>
            <w:r>
              <w:t xml:space="preserve">  Nays </w:t>
              <w:t xml:space="preserve">8</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1570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3:44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1570</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Education (originally sponsored by Representatives Gregory, Bergquist, S. Hunt, Reykdal, Kilduff, Ortiz-Self, and Pollet;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for the educator retooling conditional scholarship program; and amending RCW 28A.660.045 and 28A.660.050.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1st sp.s. c 3 s 3 are each amended to read as follows:</w:t>
      </w:r>
    </w:p>
    <w:p>
      <w:pPr>
        <w:spacing w:before="0" w:after="0" w:line="408" w:lineRule="exact"/>
        <w:ind w:left="0" w:right="0" w:firstLine="576"/>
        <w:jc w:val="left"/>
      </w:pPr>
      <w:r>
        <w:rPr/>
        <w:t xml:space="preserve">(1) The educator retooling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1st sp.s. c 3 s 4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w:t>
      </w:r>
      <w:r>
        <w:rPr>
          <w:u w:val="single"/>
        </w:rPr>
        <w:t xml:space="preserve">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0c36566dadb74d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c4ff62b3214922" /><Relationship Type="http://schemas.openxmlformats.org/officeDocument/2006/relationships/footer" Target="/word/footer.xml" Id="R0c36566dadb74de7" /></Relationships>
</file>