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26b72ee6d47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1842</w:t>
      </w:r>
    </w:p>
    <w:p>
      <w:pPr>
        <w:jc w:val="center"/>
        <w:spacing w:before="480" w:after="0" w:line="240"/>
      </w:pPr>
      <w:r>
        <w:t xml:space="preserve">Chapter </w:t>
      </w:r>
      <w:r>
        <w:rPr/>
        <w:t xml:space="preserve">11</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TRANSIT AGENCY COORDINATION</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1842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3:47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Hargrove, Fey, Harmsworth, Senn, Wylie, Gregerson, Robinson, Walkinshaw, Zeiger, Fitzgibbon, Moscoso, Tarleton, and Clibborn)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 agency coordination; amending RCW 35.58.2796 and 47.66.030; adding a new section to chapter 47.66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Equipment and facilities, including vehicle replacement standards;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Services and service standards;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Revenues, expenses, and ending balances, by fund source;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spacing w:before="0" w:after="0" w:line="408" w:lineRule="exact"/>
        <w:ind w:left="0" w:right="0" w:firstLine="576"/>
        <w:jc w:val="left"/>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spacing w:before="0" w:after="0" w:line="408" w:lineRule="exact"/>
        <w:ind w:left="0" w:right="0" w:firstLine="576"/>
        <w:jc w:val="left"/>
      </w:pPr>
      <w:r>
        <w:rPr>
          <w:u w:val="single"/>
        </w:rPr>
        <w:t xml:space="preserve">(b) To assist the department with preparation of the report required under this subsection, each municipality, as defined in RCW 35.58.272, located in a county with a population of seven hundred thousand or more that borders Puget Sound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spacing w:before="0" w:after="0" w:line="408" w:lineRule="exact"/>
        <w:ind w:left="0" w:right="0" w:firstLine="576"/>
        <w:jc w:val="left"/>
      </w:pPr>
      <w:r>
        <w:rPr>
          <w:u w:val="single"/>
        </w:rPr>
        <w:t xml:space="preserve">(i) Integrating marketing efforts;</w:t>
      </w:r>
    </w:p>
    <w:p>
      <w:pPr>
        <w:spacing w:before="0" w:after="0" w:line="408" w:lineRule="exact"/>
        <w:ind w:left="0" w:right="0" w:firstLine="576"/>
        <w:jc w:val="left"/>
      </w:pPr>
      <w:r>
        <w:rPr>
          <w:u w:val="single"/>
        </w:rPr>
        <w:t xml:space="preserve">(ii) Aligning fare structures;</w:t>
      </w:r>
    </w:p>
    <w:p>
      <w:pPr>
        <w:spacing w:before="0" w:after="0" w:line="408" w:lineRule="exact"/>
        <w:ind w:left="0" w:right="0" w:firstLine="576"/>
        <w:jc w:val="left"/>
      </w:pPr>
      <w:r>
        <w:rPr>
          <w:u w:val="single"/>
        </w:rPr>
        <w:t xml:space="preserve">(iii) Integrating service planning;</w:t>
      </w:r>
    </w:p>
    <w:p>
      <w:pPr>
        <w:spacing w:before="0" w:after="0" w:line="408" w:lineRule="exact"/>
        <w:ind w:left="0" w:right="0" w:firstLine="576"/>
        <w:jc w:val="left"/>
      </w:pPr>
      <w:r>
        <w:rPr>
          <w:u w:val="single"/>
        </w:rPr>
        <w:t xml:space="preserve">(iv) Coordinating long-range planning, including capital projects planning and implementation;</w:t>
      </w:r>
    </w:p>
    <w:p>
      <w:pPr>
        <w:spacing w:before="0" w:after="0" w:line="408" w:lineRule="exact"/>
        <w:ind w:left="0" w:right="0" w:firstLine="576"/>
        <w:jc w:val="left"/>
      </w:pPr>
      <w:r>
        <w:rPr>
          <w:u w:val="single"/>
        </w:rPr>
        <w:t xml:space="preserve">(v) Integrating other administrative functions and internal business processes as appropriate; and</w:t>
      </w:r>
    </w:p>
    <w:p>
      <w:pPr>
        <w:spacing w:before="0" w:after="0" w:line="408" w:lineRule="exact"/>
        <w:ind w:left="0" w:right="0" w:firstLine="576"/>
        <w:jc w:val="left"/>
      </w:pPr>
      <w:r>
        <w:rPr>
          <w:u w:val="single"/>
        </w:rPr>
        <w:t xml:space="preserve">(vi) Integrating certain customer-focused tools and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u w:val="single"/>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c7ea6f02fa9e47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0af062abd4ac1" /><Relationship Type="http://schemas.openxmlformats.org/officeDocument/2006/relationships/footer" Target="/word/footer.xml" Id="Rc7ea6f02fa9e475d" /></Relationships>
</file>