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ec1c7360a44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2521</w:t>
      </w:r>
    </w:p>
    <w:p>
      <w:pPr>
        <w:jc w:val="center"/>
        <w:spacing w:before="480" w:after="0" w:line="240"/>
      </w:pPr>
      <w:r>
        <w:t xml:space="preserve">Chapter </w:t>
      </w:r>
      <w:r>
        <w:rPr/>
        <w:t xml:space="preserve">171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MARIJUANA--DISPOSAL BY RETAILER</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3:21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2521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Wylie and Condotta; by request of Liquor and Cannabis Board</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proper disposal of unsellable marijuana by a licensed marijuana retail outlet; amending RCW 69.50.357;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2nd sp.s. c 4 s 203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w:t>
      </w:r>
      <w:r>
        <w:rPr>
          <w:u w:val="single"/>
        </w:rPr>
        <w:t xml:space="preserve">Except for the purposes of disposal as authorized by the board, n</w:t>
      </w:r>
      <w:r>
        <w:rPr/>
        <w:t xml:space="preserve">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02a5b2ba24f146a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9d66ef0284c93" /><Relationship Type="http://schemas.openxmlformats.org/officeDocument/2006/relationships/footer" Target="/word/footer.xml" Id="R02a5b2ba24f146a4" /></Relationships>
</file>