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5dbfd9aab42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2545</w:t>
      </w:r>
    </w:p>
    <w:p>
      <w:pPr>
        <w:jc w:val="center"/>
        <w:spacing w:before="480" w:after="0" w:line="240"/>
      </w:pPr>
      <w:r>
        <w:t xml:space="preserve">Chapter </w:t>
      </w:r>
      <w:r>
        <w:rPr/>
        <w:t xml:space="preserve">176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FLAME RETARDANT CHEMICALS--CONSUMER PRODUCTS--RESTRICTION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Van De Wege, Taylor, DeBolt, Cody, Rodne, Kochmar, Stambaugh, Riccelli, Johnson, Jinkins, Kagi, Harris, Smith, Stokesbary, Caldier, Zeiger, Tharinger, Hickel, Fitzgibbon, Muri, Reykdal, Frame, Rossetti, S. Hunt, Hudgins, McBride, Ormsby, Appleton, Walkinshaw, Senn, Ryu, Gregerson, Sells, Harmsworth, Tarleton, Pollet, Bergquist, Stanford, and Scott)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threats that particularly impact highly exposed populations, including children and firefighters, by establishing a process for the department of health to restrict the use of toxic flame retardant chemicals in certain types of consumer products; amending RCW 70.240.010 and 70.240.050; and adding new sections to chapter 70.240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w:t>
      </w:r>
      <w:r>
        <w:t>((</w:t>
      </w:r>
      <w:r>
        <w:rPr>
          <w:strike/>
        </w:rPr>
        <w:t xml:space="preserve">a</w:t>
      </w:r>
      <w:r>
        <w:t>))</w:t>
      </w:r>
      <w:r>
        <w:rPr/>
        <w:t xml:space="preserve"> </w:t>
      </w:r>
      <w:r>
        <w:rPr>
          <w:u w:val="single"/>
        </w:rPr>
        <w:t xml:space="preserve">residential upholstered furniture as defined in RCW 70.76.010 or</w:t>
      </w:r>
      <w:r>
        <w:rPr/>
        <w:t xml:space="preserve"> children's product or an importer or domestic distributor of </w:t>
      </w:r>
      <w:r>
        <w:t>((</w:t>
      </w:r>
      <w:r>
        <w:rPr>
          <w:strike/>
        </w:rPr>
        <w:t xml:space="preserve">a</w:t>
      </w:r>
      <w:r>
        <w:t>))</w:t>
      </w:r>
      <w:r>
        <w:rPr/>
        <w:t xml:space="preserve"> </w:t>
      </w:r>
      <w:r>
        <w:rPr>
          <w:u w:val="single"/>
        </w:rPr>
        <w:t xml:space="preserve">residential upholstered furniture as defined in RCW 70.76.010 or</w:t>
      </w:r>
      <w:r>
        <w:rPr/>
        <w:t xml:space="preserve"> children's product. For the purposes of this subsection, "importer" means the owner of the </w:t>
      </w:r>
      <w:r>
        <w:rPr>
          <w:u w:val="single"/>
        </w:rPr>
        <w:t xml:space="preserve">residential upholstered furniture as defined in RCW 70.76.010 or</w:t>
      </w:r>
      <w:r>
        <w:rPr/>
        <w:t xml:space="preserv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u w:val="single"/>
        </w:rPr>
        <w:t xml:space="preserve">(14) "Decabromodiphenyl ether" means the chemical decabromodiphenyl ether, chemical abstracts service number 1163-19-5, as of the effective date of this section.</w:t>
      </w:r>
    </w:p>
    <w:p>
      <w:pPr>
        <w:spacing w:before="0" w:after="0" w:line="408" w:lineRule="exact"/>
        <w:ind w:left="0" w:right="0" w:firstLine="576"/>
        <w:jc w:val="left"/>
      </w:pPr>
      <w:r>
        <w:rPr>
          <w:u w:val="single"/>
        </w:rPr>
        <w:t xml:space="preserve">(15) "HBCD" means the chemical hexabromocyclododecane, chemical abstracts service number 25637-99-4, as of the effective date of this section.</w:t>
      </w:r>
    </w:p>
    <w:p>
      <w:pPr>
        <w:spacing w:before="0" w:after="0" w:line="408" w:lineRule="exact"/>
        <w:ind w:left="0" w:right="0" w:firstLine="576"/>
        <w:jc w:val="left"/>
      </w:pPr>
      <w:r>
        <w:rPr>
          <w:u w:val="single"/>
        </w:rPr>
        <w:t xml:space="preserve">(16) "IPTPP" means the chemical isopropylated triphenyl phosphate, chemical abstracts service number 68937-41-7, as of the effective date of this section.</w:t>
      </w:r>
    </w:p>
    <w:p>
      <w:pPr>
        <w:spacing w:before="0" w:after="0" w:line="408" w:lineRule="exact"/>
        <w:ind w:left="0" w:right="0" w:firstLine="576"/>
        <w:jc w:val="left"/>
      </w:pPr>
      <w:r>
        <w:rPr>
          <w:u w:val="single"/>
        </w:rPr>
        <w:t xml:space="preserve">(17) "TBB" means the chemical (2-ethylhexyl)-2,3,4,5-tetrabromobenzoate, chemical abstracts service number 183658-27-7, as of the effective date of this section.</w:t>
      </w:r>
    </w:p>
    <w:p>
      <w:pPr>
        <w:spacing w:before="0" w:after="0" w:line="408" w:lineRule="exact"/>
        <w:ind w:left="0" w:right="0" w:firstLine="576"/>
        <w:jc w:val="left"/>
      </w:pPr>
      <w:r>
        <w:rPr>
          <w:u w:val="single"/>
        </w:rPr>
        <w:t xml:space="preserve">(18) "TBPH" means the chemical bis (2-ethylhexyl)-2,3,4,5-tetrabromophthalate, chemical abstracts service number 26040-51-7, as of the effective date of this section.</w:t>
      </w:r>
    </w:p>
    <w:p>
      <w:pPr>
        <w:spacing w:before="0" w:after="0" w:line="408" w:lineRule="exact"/>
        <w:ind w:left="0" w:right="0" w:firstLine="576"/>
        <w:jc w:val="left"/>
      </w:pPr>
      <w:r>
        <w:rPr>
          <w:u w:val="single"/>
        </w:rPr>
        <w:t xml:space="preserve">(19)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(20) "TCPP" means the chemical tris (1-chloro-2-propyl) phosphate); chemical abstracts service number 13674-84-5, as of the effective date of this section.</w:t>
      </w:r>
    </w:p>
    <w:p>
      <w:pPr>
        <w:spacing w:before="0" w:after="0" w:line="408" w:lineRule="exact"/>
        <w:ind w:left="0" w:right="0" w:firstLine="576"/>
        <w:jc w:val="left"/>
      </w:pPr>
      <w:r>
        <w:rPr>
          <w:u w:val="single"/>
        </w:rPr>
        <w:t xml:space="preserve">(21)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(22) "TPP" means the chemical triphenyl phosphate, chemical abstracts service number 115-86-6, as of the effective date of this section.</w:t>
      </w:r>
    </w:p>
    <w:p>
      <w:pPr>
        <w:spacing w:before="0" w:after="0" w:line="408" w:lineRule="exact"/>
        <w:ind w:left="0" w:right="0" w:firstLine="576"/>
        <w:jc w:val="left"/>
      </w:pPr>
      <w:r>
        <w:rPr>
          <w:u w:val="single"/>
        </w:rPr>
        <w:t xml:space="preserve">(23) "V6" means the chemical bis(chloromethyl) propane-1,3-diyltetrakis (2-chloroethyl) bisphosphate, chemical abstracts service number 385051-10-4,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The department shall consider whether the following flame retardants meet the criteria of a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(2)(a) Within one year of the department adopting a rule that identifies a flame retardant in subsection (1) of this section as a chemical of high concern for children, the department of health, in consultation with the department, must create a stakeholder advisory committee for each flame retardant chemical to provide stakeholder input, expertise, and additional information in the development of recommendations as provided under subsection (4) of this section. All advisory committee meetings must be open to the public.</w:t>
      </w:r>
    </w:p>
    <w:p>
      <w:pPr>
        <w:spacing w:before="0" w:after="0" w:line="408" w:lineRule="exact"/>
        <w:ind w:left="0" w:right="0" w:firstLine="576"/>
        <w:jc w:val="left"/>
      </w:pPr>
      <w:r>
        <w:rPr/>
        <w:t xml:space="preserve">(b) The advisory committee membership must include, but is not limited to, representatives from: Large and small business sectors; community, environmental, and public health advocacy groups; local governments; affected and interested businesses; and public health agencies.</w:t>
      </w:r>
    </w:p>
    <w:p>
      <w:pPr>
        <w:spacing w:before="0" w:after="0" w:line="408" w:lineRule="exact"/>
        <w:ind w:left="0" w:right="0" w:firstLine="576"/>
        <w:jc w:val="left"/>
      </w:pPr>
      <w:r>
        <w:rPr/>
        <w:t xml:space="preserve">(c) The department may request state agencies and technical experts to participate.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When developing policy options and recommendations consistent with subsection (4) of this section, the department must rely on credible scientific evidence and consider information relevant to the hazards based on the quantitative extent of exposures to the chemical under its intended or reasonably anticipated conditions of use. The department of health, in consultation with the department, must include the following:</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An evaluation of:</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w:t>
      </w:r>
    </w:p>
    <w:p>
      <w:pPr>
        <w:spacing w:before="0" w:after="0" w:line="408" w:lineRule="exact"/>
        <w:ind w:left="0" w:right="0" w:firstLine="576"/>
        <w:jc w:val="left"/>
      </w:pPr>
      <w:r>
        <w:rPr/>
        <w:t xml:space="preserve">(v) Consistency with existing federal and state regulatory requirements; and</w:t>
      </w:r>
    </w:p>
    <w:p>
      <w:pPr>
        <w:spacing w:before="0" w:after="0" w:line="408" w:lineRule="exact"/>
        <w:ind w:left="0" w:right="0" w:firstLine="576"/>
        <w:jc w:val="left"/>
      </w:pPr>
      <w:r>
        <w:rPr/>
        <w:t xml:space="preserve">(f)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(4)(a) The department of health must submit to the legislature recommendations on policy options for reducing exposure, designating and developing safer substitutes, and restricting or prohibiting the use of the flame retardant chemicals identified in subsection (1) of this section as a chemical of high concern for children.</w:t>
      </w:r>
    </w:p>
    <w:p>
      <w:pPr>
        <w:spacing w:before="0" w:after="0" w:line="408" w:lineRule="exact"/>
        <w:ind w:left="0" w:right="0" w:firstLine="576"/>
        <w:jc w:val="left"/>
      </w:pPr>
      <w:r>
        <w:rPr/>
        <w:t xml:space="preserve">(b) When the department of health, in consultation with the department, determines that flame retardant chemicals identified in subsection (1) of this section as a chemical of high concern for children should be restricted or prohibited from use in children's products, residential upholstered furniture as defined in RCW 70.76.010, or other commercial products or processes, the department of health must include citations of the peer-reviewed science and other sources of information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made in casual or isolated sales as defined in RCW 82.04.040, or by a nonprofit organization, is exempt from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5a6d58109c294f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8dc0f256d42c2" /><Relationship Type="http://schemas.openxmlformats.org/officeDocument/2006/relationships/footer" Target="/word/footer.xml" Id="R5a6d58109c294f6e" /></Relationships>
</file>