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172d1ae45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2839</w:t>
      </w:r>
    </w:p>
    <w:p>
      <w:pPr>
        <w:jc w:val="center"/>
        <w:spacing w:before="480" w:after="0" w:line="240"/>
      </w:pPr>
      <w:r>
        <w:t xml:space="preserve">Chapter </w:t>
      </w:r>
      <w:r>
        <w:rPr/>
        <w:t xml:space="preserve">191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AIRCRAFT MAINTENANCE REPAIR OPERATORS--BUILDING CONSTRUCTION--TAX EXEMPTION</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84</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28</w:t>
            </w:r>
            <w:r>
              <w:t xml:space="preserve">  Nays </w:t>
              <w:t xml:space="preserve">20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2839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3:50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2839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Springer and Nealey)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amending RCW 82.14.050 and 82.14.060;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At the end of the third year after an aircraft maintenance and repair station is operationally complete, the joint legislative audit and review committee must evaluate, at a minimum:</w:t>
      </w:r>
    </w:p>
    <w:p>
      <w:pPr>
        <w:spacing w:before="0" w:after="0" w:line="408" w:lineRule="exact"/>
        <w:ind w:left="0" w:right="0" w:firstLine="576"/>
        <w:jc w:val="left"/>
      </w:pPr>
      <w:r>
        <w:rPr/>
        <w:t xml:space="preserve">(a) Whether a taxpayer claiming this tax preference is on target to reach the employment levels and average annualized wages under section 2 of this act by the end of the aircraft maintenance and repair station's fourth year of operation; and</w:t>
      </w:r>
    </w:p>
    <w:p>
      <w:pPr>
        <w:spacing w:before="0" w:after="0" w:line="408" w:lineRule="exact"/>
        <w:ind w:left="0" w:right="0" w:firstLine="576"/>
        <w:jc w:val="left"/>
      </w:pPr>
      <w:r>
        <w:rPr/>
        <w:t xml:space="preserve">(b) Whether the average annualized wages for employees are on a par with industry standards for the sector.</w:t>
      </w:r>
    </w:p>
    <w:p>
      <w:pPr>
        <w:spacing w:before="0" w:after="0" w:line="408" w:lineRule="exact"/>
        <w:ind w:left="0" w:right="0" w:firstLine="576"/>
        <w:jc w:val="left"/>
      </w:pPr>
      <w:r>
        <w:rPr/>
        <w:t xml:space="preserve">(4)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and to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September 1, 2020, through September 1,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the effective date of this section.</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t xml:space="preserve"> 82.12.02565</w:t>
      </w:r>
      <w:r>
        <w:rPr>
          <w:u w:val="single"/>
        </w:rPr>
        <w:t xml:space="preserve">, or section 2 or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 </w:t>
      </w:r>
      <w:r>
        <w:rPr>
          <w:u w:val="single"/>
        </w:rPr>
        <w:t xml:space="preserve">or section 2 or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d896eff36194a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092d58ba14656" /><Relationship Type="http://schemas.openxmlformats.org/officeDocument/2006/relationships/footer" Target="/word/footer.xml" Id="Rad896eff36194a4b" /></Relationships>
</file>