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caaa5552cf44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2928</w:t>
      </w:r>
    </w:p>
    <w:p>
      <w:pPr>
        <w:jc w:val="center"/>
        <w:spacing w:before="480" w:after="0" w:line="240"/>
      </w:pPr>
      <w:r>
        <w:t xml:space="preserve">Chapter </w:t>
      </w:r>
      <w:r>
        <w:rPr/>
        <w:t xml:space="preserve">110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FOREST RESILIENCY BURNING--PILOT PROJECT--AIR QUALITY</w:t>
      </w:r>
    </w:p>
    <w:p>
      <w:pPr>
        <w:spacing w:before="720" w:after="240" w:line="240" w:lineRule="exact"/>
        <w:ind w:left="0" w:right="0" w:firstLine="576"/>
        <w:jc w:val="center"/>
      </w:pPr>
      <w:r>
        <w:t xml:space="preserve">EFFECTIVE DATE: </w:t>
      </w:r>
      <w:r>
        <w:rPr/>
        <w:t xml:space="preserve">3/31/2016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11:22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Kretz, Blake, Schmick, Dunshee, Short, Haler, Stanford, and Chandler)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outdoor burning for air quality reasons do not impede measures necessary to ensure forest resiliency to catastrophic fires;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w:t>
      </w:r>
      <w:r>
        <w:rPr/>
        <w:t xml:space="preserve"> The department of natural resources may consider forest resiliency burning proposals that include treatments to reduce fuel loads prior to burning, including the thinning of forest stands and grazing to clear brush.</w:t>
      </w:r>
    </w:p>
    <w:p>
      <w:pPr>
        <w:spacing w:before="0" w:after="0" w:line="408" w:lineRule="exact"/>
        <w:ind w:left="0" w:right="0" w:firstLine="576"/>
        <w:jc w:val="left"/>
      </w:pPr>
      <w:r>
        <w:rPr/>
        <w:t xml:space="preserve">(2)(a)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(i) North Central Washington forest health collaborative;</w:t>
      </w:r>
    </w:p>
    <w:p>
      <w:pPr>
        <w:spacing w:before="0" w:after="0" w:line="408" w:lineRule="exact"/>
        <w:ind w:left="0" w:right="0" w:firstLine="576"/>
        <w:jc w:val="left"/>
      </w:pPr>
      <w:r>
        <w:rPr/>
        <w:t xml:space="preserve">(ii) Northeast Washington forestry collaborative; and</w:t>
      </w:r>
    </w:p>
    <w:p>
      <w:pPr>
        <w:spacing w:before="0" w:after="0" w:line="408" w:lineRule="exact"/>
        <w:ind w:left="0" w:right="0" w:firstLine="576"/>
        <w:jc w:val="left"/>
      </w:pPr>
      <w:r>
        <w:rPr/>
        <w:t xml:space="preserve">(iii) Tapash sustainable forest collaborative.</w:t>
      </w:r>
    </w:p>
    <w:p>
      <w:pPr>
        <w:spacing w:before="0" w:after="0" w:line="408" w:lineRule="exact"/>
        <w:ind w:left="0" w:right="0" w:firstLine="576"/>
        <w:jc w:val="left"/>
      </w:pPr>
      <w:r>
        <w:rPr/>
        <w:t xml:space="preserve">(b) The department of natural resources must also coordinate with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The department of natural resources must approve burns at least twenty-four hours prior to ignition of the fire.</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 </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The department of natural resources shall submit a report to the legislature, consistent with RCW 43.01.036, by December 1, 2018.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The quantity and severity of air quality exceedances by pollutant type;</w:t>
      </w:r>
    </w:p>
    <w:p>
      <w:pPr>
        <w:spacing w:before="0" w:after="0" w:line="408" w:lineRule="exact"/>
        <w:ind w:left="0" w:right="0" w:firstLine="576"/>
        <w:jc w:val="left"/>
      </w:pPr>
      <w:r>
        <w:rPr/>
        <w:t xml:space="preserve">(c)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(d)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b5f5a1c5b54461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e26cb970d14e2e" /><Relationship Type="http://schemas.openxmlformats.org/officeDocument/2006/relationships/footer" Target="/word/footer.xml" Id="R4b5f5a1c5b544618" /></Relationships>
</file>