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f1ce677d554fc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5070</w:t>
      </w:r>
    </w:p>
    <w:p>
      <w:pPr>
        <w:jc w:val="center"/>
        <w:spacing w:before="480" w:after="0" w:line="240"/>
      </w:pPr>
      <w:r>
        <w:t xml:space="preserve">Chapter </w:t>
      </w:r>
      <w:r>
        <w:rPr/>
        <w:t xml:space="preserve">290</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DOMESTIC VIOLENCE OFFENDERS--SUPERVISION</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45</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5070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18, 2015 2:13 PM</w:t>
            </w:r>
          </w:p>
        </w:tc>
        <w:tc>
          <w:tcPr>
            <w:tcW w:w="4560" w:type="dxa"/>
            <w:vAlign w:val="top"/>
          </w:tcPr>
          <w:p>
            <w:pPr>
              <w:jc w:val="center"/>
            </w:pPr>
            <w:r>
              <w:rPr>
                <w:t xml:space="preserve">FILED</w:t>
              </w:rPr>
            </w:r>
          </w:p>
          <w:p>
            <w:pPr>
              <w:jc w:val="center"/>
            </w:pPr>
            <w:r>
              <w:rPr>
                <w:rFonts w:ascii="Times New Roman" w:hAnsi="Times New Roman"/>
                <w:sz w:val="20"/>
              </w:rPr>
              <w:t xml:space="preserve">May 18,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5070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Pearson, Warnick, Dammeier, Kohl-Welles, and Brown</w:t>
      </w:r>
    </w:p>
    <w:p/>
    <w:p>
      <w:r>
        <w:rPr>
          <w:t xml:space="preserve">Read first time 01/13/15.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supervision of domestic violence offenders; amending RCW 9.94A.501;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2013 2nd sp.s. c 35 s 15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w:t>
      </w:r>
      <w:r>
        <w:rPr>
          <w:u w:val="single"/>
        </w:rPr>
        <w:t xml:space="preserve">(i)</w:t>
      </w:r>
      <w:r>
        <w:rPr/>
        <w:t xml:space="preserve"> Has a current conviction for a domestic violence felony offense where domestic violence has been plead and proven after August 1, 2011, and a prior conviction for a repetitive domestic violence offense or domestic violence felony offense where domestic violence ((</w:t>
      </w:r>
      <w:r>
        <w:rPr>
          <w:strike/>
        </w:rPr>
        <w:t xml:space="preserve">has been</w:t>
      </w:r>
      <w:r>
        <w:rPr/>
        <w:t xml:space="preserve">)) </w:t>
      </w:r>
      <w:r>
        <w:rPr>
          <w:u w:val="single"/>
        </w:rPr>
        <w:t xml:space="preserve">was</w:t>
      </w:r>
      <w:r>
        <w:rPr/>
        <w:t xml:space="preserve"> plead and proven after August 1, 2011</w:t>
      </w:r>
      <w:r>
        <w:rPr>
          <w:u w:val="single"/>
        </w:rPr>
        <w:t xml:space="preserve">. This subsection (4)(e)(i) applies only to offenses committed prior to the effective date of this section;</w:t>
      </w:r>
    </w:p>
    <w:p>
      <w:pPr>
        <w:spacing w:before="0" w:after="0" w:line="408" w:lineRule="exact"/>
        <w:ind w:left="0" w:right="0" w:firstLine="576"/>
        <w:jc w:val="left"/>
      </w:pPr>
      <w:r>
        <w:rPr>
          <w:u w:val="single"/>
        </w:rPr>
        <w:t xml:space="preserve">(ii) Has a conviction for a domestic violence felony offense where domestic violence was plead and proven and that was committed after the effective date of this section. The state and its officers, agents, and employees shall not be held criminally or civilly liable for its supervision of an offender under this subsection (4)(e)(ii) unless the state and its officers, agents, and employees acted with gross negligence</w:t>
      </w:r>
      <w:r>
        <w:rPr/>
        <w:t xml:space="preserve">;</w:t>
      </w:r>
    </w:p>
    <w:p>
      <w:pPr>
        <w:spacing w:before="0" w:after="0" w:line="408" w:lineRule="exact"/>
        <w:ind w:left="0" w:right="0" w:firstLine="576"/>
        <w:jc w:val="left"/>
      </w:pPr>
      <w:r>
        <w:rPr/>
        <w:t xml:space="preserve">(f) Was sentenced under RCW 9.94A.650, 9.94A.655, 9.94A.660, or 9.94A.670;</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(6) The department shall conduct a risk assessment for every felony offender sentenced to a term of community custody who may be subject to supervision under this section or RCW 9.94A.5011.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16, 2015.</w:t>
      </w:r>
    </w:p>
    <w:p>
      <w:pPr>
        <w:spacing w:before="0" w:after="0" w:line="408" w:lineRule="exact"/>
        <w:ind w:left="0" w:right="0" w:firstLine="576"/>
        <w:jc w:val="left"/>
      </w:pPr>
      <w:r>
        <w:rPr/>
        <w:t xml:space="preserve">Passed by the House April 14, 2015.</w:t>
      </w:r>
    </w:p>
    <w:p>
      <w:pPr>
        <w:spacing w:before="0" w:after="0" w:line="408" w:lineRule="exact"/>
        <w:ind w:left="0" w:right="0" w:firstLine="576"/>
        <w:jc w:val="left"/>
      </w:pPr>
      <w:r>
        <w:rPr/>
        <w:t xml:space="preserve">Approved by the Governor May 18, 2015.</w:t>
      </w:r>
    </w:p>
    <w:p>
      <w:pPr>
        <w:spacing w:before="0" w:after="0" w:line="408" w:lineRule="exact"/>
        <w:ind w:left="0" w:right="0" w:firstLine="576"/>
        <w:jc w:val="left"/>
      </w:pPr>
      <w:r>
        <w:rPr/>
        <w:t xml:space="preserve">Filed in Office of Secretary of State May 18, 2015.</w:t>
      </w:r>
    </w:p>
    <w:sectPr>
      <w:pgNumType w:start="1"/>
      <w:footerReference xmlns:r="http://schemas.openxmlformats.org/officeDocument/2006/relationships" r:id="R211ee95917194bf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5efd8608e14257" /><Relationship Type="http://schemas.openxmlformats.org/officeDocument/2006/relationships/footer" Target="/word/footer.xml" Id="R211ee95917194bf4" /></Relationships>
</file>