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a5464ae7645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5404</w:t>
      </w:r>
    </w:p>
    <w:p>
      <w:pPr>
        <w:jc w:val="center"/>
        <w:spacing w:before="480" w:after="0" w:line="240"/>
      </w:pPr>
      <w:r>
        <w:t xml:space="preserve">Chapter </w:t>
      </w:r>
      <w:r>
        <w:rPr/>
        <w:t xml:space="preserve">69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HOMELESS YOUTH</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71</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2:40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Frockt, Miloscia, Kohl-Welles, McAuliffe, Chase, Pedersen, and Conway;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43.330.167, 43.185C.040, 43.185C.240, and 28A.300.540;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prevention and protection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prevention and protection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(4)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(5) "Unaccompanied" means a youth or young adult experiencing homelessness while not in the physical custody of a parent or guardian.</w:t>
      </w:r>
    </w:p>
    <w:p>
      <w:pPr>
        <w:spacing w:before="0" w:after="0" w:line="408" w:lineRule="exact"/>
        <w:ind w:left="0" w:right="0" w:firstLine="576"/>
        <w:jc w:val="left"/>
      </w:pPr>
      <w:r>
        <w:rPr/>
        <w:t xml:space="preserve">(6)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w:t>
      </w:r>
      <w:r>
        <w:rPr/>
        <w:t xml:space="preserve"> Nothing in chapter ..., Laws of 2015 (this act)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prevention and protection programs. (1)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 sharing agreements, (c) develop specific recommendations and timelines to address funding, policy, and practice gaps within the state system for addressing the five priority service areas identified in section 4 of this act,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prevention and protection programs must submit a report to the governor and the legislature to inform recommendations for funding, policy, and best practices in the five priority service areas identified in section 4 of this act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prevention and protection programs.</w:t>
      </w:r>
      <w:r>
        <w:t xml:space="preserve">  </w:t>
      </w: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 (as recodified by this act);</w:t>
      </w:r>
    </w:p>
    <w:p>
      <w:pPr>
        <w:spacing w:before="0" w:after="0" w:line="408" w:lineRule="exact"/>
        <w:ind w:left="0" w:right="0" w:firstLine="576"/>
        <w:jc w:val="left"/>
      </w:pPr>
      <w:r>
        <w:rPr/>
        <w:t xml:space="preserve">(b) Crisis residential centers as described in RCW 74.13.032 (as recodified by this act);</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prevention and protection programs shall establish a statewide training program on homeless youth for criminal justice personnel. The training must include identifying homeless youth, existing laws governing the intersection of law enforcement and homeless youth, and best practices for approaching and engaging homeless youth in appropriate services.</w:t>
      </w:r>
    </w:p>
    <w:p>
      <w:pPr>
        <w:spacing w:before="0" w:after="0" w:line="408" w:lineRule="exact"/>
        <w:ind w:left="0" w:right="0" w:firstLine="576"/>
        <w:jc w:val="left"/>
      </w:pPr>
      <w:r>
        <w:rPr/>
        <w:t xml:space="preserve">(2) The training must be provided where possible by an entity that has experience in developing coalitions, training, programs, and policy on homeless youth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state-funded programs that serve unaccompanied homeless youth under the age of eighteen, including dependent youth, to determine what performance measures exist, what statutory reporting requirements exist, and whether there is reliable data on ages of youth served, length of stay, and effectiveness of program exit and reentry. Where statutory reporting requirements do exist, the joint legislative audit and review committee shall review the programs' compliance with relevant statutory reporting requirements. The committee shall report on what services are provided to unaccompanied homeless youth including, but not limited to: Outreach and other nonshelter services, shelter services, and family reconciliation. The committee is also to report on the number of unaccompanied homeless youth statewide and by county and city and how this number is determined. The programs reviewed may include, but are not limited to, HOPE centers as described in RCW 74.15.220 (as recodified by this act) and crisis residential centers as described in RCW 74.13.032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r>
        <w:rPr/>
        <w:t xml:space="preserve"> </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t xml:space="preserve"> </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t xml:space="preserve"> </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t xml:space="preserve"> </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t xml:space="preserve"> </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t xml:space="preserve"> </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t xml:space="preserve"> </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t xml:space="preserve"> </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t xml:space="preserve"> </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t xml:space="preserve"> </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t xml:space="preserve"> </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t xml:space="preserve"> </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t xml:space="preserve"> </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secretary </w:t>
      </w:r>
      <w:r>
        <w:rPr>
          <w:u w:val="single"/>
        </w:rPr>
        <w:t xml:space="preserve">of the department of social and health services</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w:t>
      </w:r>
      <w:r>
        <w:t>((</w:t>
      </w:r>
      <w:r>
        <w:rPr>
          <w:strike/>
        </w:rPr>
        <w:t xml:space="preserve">over a period of at least ten years</w:t>
      </w:r>
      <w:r>
        <w:t>))</w:t>
      </w:r>
      <w:r>
        <w:rPr/>
        <w:t xml:space="preserve">.</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2009 c 518 s 17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w:t>
      </w:r>
      <w:r>
        <w:rPr>
          <w:u w:val="single"/>
        </w:rPr>
        <w:t xml:space="preserve">The reduction in the number of unaccompanied homeless youth. "Unaccompanied homeless youth" has the same meaning as in section 3 of this act;</w:t>
      </w:r>
    </w:p>
    <w:p>
      <w:pPr>
        <w:spacing w:before="0" w:after="0" w:line="408" w:lineRule="exact"/>
        <w:ind w:left="0" w:right="0" w:firstLine="576"/>
        <w:jc w:val="left"/>
      </w:pPr>
      <w:r>
        <w:rPr>
          <w:u w:val="single"/>
        </w:rPr>
        <w:t xml:space="preserve">(c)</w:t>
      </w:r>
      <w:r>
        <w:rPr/>
        <w:t xml:space="preserve"> The number of new units available and affordable for homeless families by housing type;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number of homeless individuals identified who are not offered suitable housing within thirty days of their request or identification as homeless;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number of households at risk of losing housing who maintain it due to a preventive intervention;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transition time from homelessness to permanent housing;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cost per person housed at each level of the housing continuum;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ability to successfully collect data and report performance;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extent of collaboration and coordination among public bodies, as well as community stakeholders, and the level of community support and participation;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quality and safety of housing provided;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effectiveness of outreach to homeless persons, and their satisfaction with the program.</w:t>
      </w:r>
    </w:p>
    <w:p>
      <w:pPr>
        <w:spacing w:before="0" w:after="0" w:line="408" w:lineRule="exact"/>
        <w:ind w:left="0" w:right="0" w:firstLine="576"/>
        <w:jc w:val="left"/>
      </w:pPr>
      <w:r>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2014 c 200 s 3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calendar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w:t>
      </w:r>
      <w:r>
        <w:t>((</w:t>
      </w:r>
      <w:r>
        <w:rPr>
          <w:strike/>
        </w:rPr>
        <w:t xml:space="preserve">and</w:t>
      </w:r>
      <w:r>
        <w:t>))</w:t>
      </w:r>
      <w:r>
        <w:rPr/>
        <w:t xml:space="preserve"> amount expended on and number of other tenant-based rent assistance services provided in the private market</w:t>
      </w:r>
      <w:r>
        <w:rPr>
          <w:u w:val="single"/>
        </w:rPr>
        <w:t xml:space="preserve">; and amount expended on and number of services provided to unaccompanied homeless youth</w:t>
      </w:r>
      <w:r>
        <w:rPr/>
        <w:t xml:space="preserve">.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calendar year data to the department by October 1st, with preliminary data submitted by October 1, 2012, and full calendar year data submitted beginning October 1, 2013.</w:t>
      </w:r>
    </w:p>
    <w:p>
      <w:pPr>
        <w:spacing w:before="0" w:after="0" w:line="408" w:lineRule="exact"/>
        <w:ind w:left="0" w:right="0" w:firstLine="576"/>
        <w:jc w:val="left"/>
      </w:pPr>
      <w:r>
        <w:rPr/>
        <w:t xml:space="preserve">(b) Any local government receiving more than three million five hundred thousand dollars during the previous calendar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calendar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calendar year report to the legislature by December 15th, with a preliminary report submitted by December 15, 2012, and full calendar year reports submitted beginning December 15, 2013;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8 and 10 through 24 of this act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section 3(2) of this act.</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89b9da497d2248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a3e7b5f004c88" /><Relationship Type="http://schemas.openxmlformats.org/officeDocument/2006/relationships/footer" Target="/word/footer.xml" Id="R89b9da497d22485d" /></Relationships>
</file>