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a05817aec41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5893</w:t>
      </w:r>
    </w:p>
    <w:p>
      <w:pPr>
        <w:jc w:val="center"/>
        <w:spacing w:before="480" w:after="0" w:line="240"/>
      </w:pPr>
      <w:r>
        <w:t xml:space="preserve">Chapter </w:t>
      </w:r>
      <w:r>
        <w:rPr/>
        <w:t xml:space="preserve">299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LABOR REGULATIONS--AMATEUR ATHLETES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2:32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Fain, Mullet, Litzow, Liias, and Hargrove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nonemployee status of athletes in amateur sports; amending RCW 49.12.005; reenacting and amending RCW 49.46.010;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junior ice hockey teams that are members of regional, national, or internationally recognized leagues provide significant benefits to their players by teaching them valuable athletic skills and interpersonal life skills. These junior teams also provide significant financial support to their communities as tenants of arenas owned, operated, or managed by public facilities districts.  The legislature seeks to assist in the financial stability of public facilities districts and to ensure the viability of junior ice hockey in the state by clarifying that these young athletes are not employees of their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designated representative.</w:t>
      </w:r>
    </w:p>
    <w:p>
      <w:pPr>
        <w:spacing w:before="0" w:after="0" w:line="408" w:lineRule="exact"/>
        <w:ind w:left="0" w:right="0" w:firstLine="576"/>
        <w:jc w:val="left"/>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spacing w:before="0" w:after="0" w:line="408" w:lineRule="exact"/>
        <w:ind w:left="0" w:right="0" w:firstLine="576"/>
        <w:jc w:val="left"/>
      </w:pPr>
      <w:r>
        <w:rPr/>
        <w:t xml:space="preserve">(4) "Employee" means an employee who is employed in the business of the employee's employer whether by way of manual labor or otherwise. </w:t>
      </w:r>
      <w:r>
        <w:rPr>
          <w:u w:val="single"/>
        </w:rPr>
        <w:t xml:space="preserve">"Employee" does not include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rPr/>
        <w:t xml:space="preserve">(6)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u w:val="single"/>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3335b33441dc45b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0705023eb4b7f" /><Relationship Type="http://schemas.openxmlformats.org/officeDocument/2006/relationships/footer" Target="/word/footer.xml" Id="R3335b33441dc45bb" /></Relationships>
</file>