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0c3866b0c41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6134</w:t>
      </w:r>
    </w:p>
    <w:p>
      <w:pPr>
        <w:jc w:val="center"/>
        <w:spacing w:before="480" w:after="0" w:line="240"/>
      </w:pPr>
      <w:r>
        <w:t xml:space="preserve">Chapter </w:t>
      </w:r>
      <w:r>
        <w:rPr/>
        <w:t xml:space="preserve">35</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PRETRIAL SUPERVISION COSTS LIMITATIONS--EXEMPTION--ALCOHOL MONITORING PROGRAMS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42</w:t>
            </w:r>
            <w:r>
              <w:t xml:space="preserve">  Nays </w:t>
              <w:t xml:space="preserve">2</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4:18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6134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Law &amp; Justice (originally sponsored by Senator Padden)</w:t>
      </w:r>
    </w:p>
    <w:p/>
    <w:p>
      <w:r>
        <w:rPr>
          <w:t xml:space="preserve">READ FIRST TIME 06/19/15.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pretrial electronic alcohol monitoring programs from statutory limitations on pretrial supervision costs; and amending RCW 10.01.160 and 46.61.50571.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w:t>
      </w:r>
      <w:r>
        <w:rPr>
          <w:u w:val="single"/>
        </w:rPr>
        <w:t xml:space="preserve">other than a pretrial electronic alcohol monitoring program, drug monitoring program, or 24/7 sobriety program</w:t>
      </w:r>
      <w:r>
        <w:rPr/>
        <w:t xml:space="preserve">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2013 c 3 s 36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marijuana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marijuana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u w:val="single"/>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0d0ba56341dc48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7d4b1456b4108" /><Relationship Type="http://schemas.openxmlformats.org/officeDocument/2006/relationships/footer" Target="/word/footer.xml" Id="R0d0ba56341dc486b" /></Relationships>
</file>