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c202dd13541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6449</w:t>
      </w:r>
    </w:p>
    <w:p>
      <w:pPr>
        <w:jc w:val="center"/>
        <w:spacing w:before="480" w:after="0" w:line="240"/>
      </w:pPr>
      <w:r>
        <w:t xml:space="preserve">Chapter </w:t>
      </w:r>
      <w:r>
        <w:rPr/>
        <w:t xml:space="preserve">116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ENHANCED RAFFLES--CERTAIN ORGANIZATIONS--EXPIRATION DATE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11:30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6449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Hewitt and Conway)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raffles; amending RCW 9.46.0323;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2013 c 310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five million dollars.</w:t>
      </w:r>
    </w:p>
    <w:p>
      <w:pPr>
        <w:spacing w:before="0" w:after="0" w:line="408" w:lineRule="exact"/>
        <w:ind w:left="0" w:right="0" w:firstLine="576"/>
        <w:jc w:val="left"/>
      </w:pPr>
      <w:r>
        <w:rPr/>
        <w:t xml:space="preserve">(b) Sales may be made in person, by mail, by fax, or by telephone only. Raffle ticket order forms may be printed from the bona fide charitable or nonprofit organization's web 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By December 2016, the commission must report back to the appropriate committees of the legislature on enhanced raffles.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rPr/>
        <w:t xml:space="preserve">(9)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3087e8734974de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a3805c03a945ba" /><Relationship Type="http://schemas.openxmlformats.org/officeDocument/2006/relationships/footer" Target="/word/footer.xml" Id="R63087e8734974de6" /></Relationships>
</file>