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aca4003d148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6564</w:t>
      </w:r>
    </w:p>
    <w:p>
      <w:pPr>
        <w:jc w:val="center"/>
        <w:spacing w:before="480" w:after="0" w:line="240"/>
      </w:pPr>
      <w:r>
        <w:t xml:space="preserve">Chapter </w:t>
      </w:r>
      <w:r>
        <w:rPr/>
        <w:t xml:space="preserve">172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PERSONS WITH DEVELOPMENTAL DISABILITIES--ABUSE AND NEGLECT--OMBUDS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6564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3:24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Fain, Keiser, McAuliffe, Hobbs, Conway, Angel, Frockt, and Warnick)</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74.34.300; adding new sections to chapter 71A.12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assessment of risk factors by developmental disabilities administration case managers, and to create an independent office of the developmental disabilities ombuds to monitor and report on services to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funds appropriated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Whether the client has been the subject of an adult protective services or child protective services referral in the past year; or</w:t>
      </w:r>
    </w:p>
    <w:p>
      <w:pPr>
        <w:spacing w:before="0" w:after="0" w:line="408" w:lineRule="exact"/>
        <w:ind w:left="0" w:right="0" w:firstLine="576"/>
        <w:jc w:val="left"/>
      </w:pPr>
      <w:r>
        <w:rPr/>
        <w:t xml:space="preserve">(v)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t xml:space="preserve">(3)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collaborate and have a memoranda of agreement with the office of the state long-term care ombuds, the office of the family and children's ombuds, Washington protection and advocacy system, the mental health ombuds, and the office of the education ombuds to clarify authority in those situations where their mandates overlap.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r>
        <w:rPr/>
        <w:t xml:space="preserve"> Consistently with this section, the ombuds must act to protect sensitive client information.</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10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bee5b7a9f0e44c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e00901e19401a" /><Relationship Type="http://schemas.openxmlformats.org/officeDocument/2006/relationships/footer" Target="/word/footer.xml" Id="Rbee5b7a9f0e44ca4" /></Relationships>
</file>