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5fcf73c8b4eb7" /></Relationships>
</file>

<file path=word/document.xml><?xml version="1.0" encoding="utf-8"?>
<w:document xmlns:w="http://schemas.openxmlformats.org/wordprocessingml/2006/main">
  <w:body>
    <w:p>
      <w:r>
        <w:rPr>
          <w:b/>
        </w:rPr>
        <w:r>
          <w:rPr/>
          <w:t xml:space="preserve">1268</w:t>
        </w:r>
      </w:r>
      <w:r>
        <w:rPr>
          <w:b/>
        </w:rPr>
        <w:t xml:space="preserve"> </w:t>
        <w:t xml:space="preserve">AMH</w:t>
      </w:r>
      <w:r>
        <w:rPr>
          <w:b/>
        </w:rPr>
        <w:t xml:space="preserve"> </w:t>
        <w:r>
          <w:rPr/>
          <w:t xml:space="preserve">FITZ</w:t>
        </w:r>
      </w:r>
      <w:r>
        <w:rPr>
          <w:b/>
        </w:rPr>
        <w:t xml:space="preserve"> </w:t>
        <w:r>
          <w:rPr/>
          <w:t xml:space="preserve">H2270.1</w:t>
        </w:r>
      </w:r>
      <w:r>
        <w:rPr>
          <w:b/>
        </w:rPr>
        <w:t xml:space="preserve"> - NOT FOR FLOOR USE</w:t>
      </w:r>
    </w:p>
    <w:p>
      <w:pPr>
        <w:ind w:left="0" w:right="0" w:firstLine="576"/>
      </w:pPr>
    </w:p>
    <w:p>
      <w:pPr>
        <w:spacing w:before="480" w:after="0" w:line="408" w:lineRule="exact"/>
      </w:pPr>
      <w:r>
        <w:rPr>
          <w:b/>
          <w:u w:val="single"/>
        </w:rPr>
        <w:t xml:space="preserve">HB 1268</w:t>
      </w:r>
      <w:r>
        <w:t xml:space="preserve"> -</w:t>
      </w:r>
      <w:r>
        <w:t xml:space="preserve"> </w:t>
        <w:t xml:space="preserve">H AMD</w:t>
      </w:r>
      <w:r>
        <w:t xml:space="preserve"> </w:t>
      </w:r>
      <w:r>
        <w:rPr>
          <w:b/>
        </w:rPr>
        <w:t xml:space="preserve">206</w:t>
      </w:r>
    </w:p>
    <w:p>
      <w:pPr>
        <w:spacing w:before="0" w:after="0" w:line="408" w:lineRule="exact"/>
        <w:ind w:left="0" w:right="0" w:firstLine="576"/>
        <w:jc w:val="left"/>
      </w:pPr>
      <w:r>
        <w:rPr/>
        <w:t xml:space="preserve">By Representative Fitzgibbon</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480</w:t>
      </w:r>
      <w:r>
        <w:rPr/>
        <w:t xml:space="preserve"> and 2015 3rd sp.s. c 10 s 2 are each amended to read as follows:</w:t>
      </w:r>
    </w:p>
    <w:p>
      <w:pPr>
        <w:spacing w:before="0" w:after="0" w:line="408" w:lineRule="exact"/>
        <w:ind w:left="0" w:right="0" w:firstLine="576"/>
        <w:jc w:val="left"/>
      </w:pPr>
      <w:r>
        <w:rPr>
          <w:u w:val="single"/>
        </w:rPr>
        <w:t xml:space="preserve">(1)</w:t>
      </w:r>
      <w:r>
        <w:rPr/>
        <w:t xml:space="preserve"> The repair or replacement of a state bridge deemed structurally deficient, as defined in RCW 47.04.010, is exempt from compliance with this chapter as long as the action occurs within the existing right-of-way, except that the repair or replacement may occur outside the existing right-of-way as needed to meet current engineering standards or state or local environmental permit requirements for highway construction as long as the repair or replacement does not result in additional lanes for automobiles. The issuance of applicable state and local agency permits or approvals associated with the repair or replacement of such bridges is also included in this exemption from compliance with this chapter.</w:t>
      </w:r>
    </w:p>
    <w:p>
      <w:pPr>
        <w:spacing w:before="0" w:after="0" w:line="408" w:lineRule="exact"/>
        <w:ind w:left="0" w:right="0" w:firstLine="576"/>
        <w:jc w:val="left"/>
      </w:pPr>
      <w:r>
        <w:rPr>
          <w:u w:val="single"/>
        </w:rPr>
        <w:t xml:space="preserve">(2) The construction or addition to a road of pedestrian walks, paths, sidewalks, and sidewalk extensions is exempt from compliance with this chapter, as long as the construction or addition does not result in additional lanes for automobiles, is not a Washington department of transportation project covered by WAC 197-11-800(26) as it existed as of January 1, 2017, and the project:</w:t>
      </w:r>
    </w:p>
    <w:p>
      <w:pPr>
        <w:spacing w:before="0" w:after="0" w:line="408" w:lineRule="exact"/>
        <w:ind w:left="0" w:right="0" w:firstLine="576"/>
        <w:jc w:val="left"/>
      </w:pPr>
      <w:r>
        <w:rPr>
          <w:u w:val="single"/>
        </w:rPr>
        <w:t xml:space="preserve">(a) Is not undertaken wholly or partly on lands covered by water;</w:t>
      </w:r>
    </w:p>
    <w:p>
      <w:pPr>
        <w:spacing w:before="0" w:after="0" w:line="408" w:lineRule="exact"/>
        <w:ind w:left="0" w:right="0" w:firstLine="576"/>
        <w:jc w:val="left"/>
      </w:pPr>
      <w:r>
        <w:rPr>
          <w:u w:val="single"/>
        </w:rPr>
        <w:t xml:space="preserve">(b) Does not require a license governing discharges to water that is not exempt under RCW 43.21C.0383;</w:t>
      </w:r>
    </w:p>
    <w:p>
      <w:pPr>
        <w:spacing w:before="0" w:after="0" w:line="408" w:lineRule="exact"/>
        <w:ind w:left="0" w:right="0" w:firstLine="576"/>
        <w:jc w:val="left"/>
      </w:pPr>
      <w:r>
        <w:rPr>
          <w:u w:val="single"/>
        </w:rPr>
        <w:t xml:space="preserve">(c) Does not require a license governing emissions to air that is not exempt under RCW 43.21C.0381 or WAC 197-11-800 (7) or (8) as it existed as of January 1, 2017; and</w:t>
      </w:r>
    </w:p>
    <w:p>
      <w:pPr>
        <w:spacing w:before="0" w:after="0" w:line="408" w:lineRule="exact"/>
        <w:ind w:left="0" w:right="0" w:firstLine="576"/>
        <w:jc w:val="left"/>
      </w:pPr>
      <w:r>
        <w:rPr>
          <w:u w:val="single"/>
        </w:rPr>
        <w:t xml:space="preserve">(d) Does not require a land use decision that is not exempt under WAC 197-11-800(6), as it existed as of January 1, 2017.</w:t>
      </w:r>
    </w:p>
    <w:p>
      <w:pPr>
        <w:spacing w:before="0" w:after="0" w:line="408" w:lineRule="exact"/>
        <w:ind w:left="0" w:right="0" w:firstLine="576"/>
        <w:jc w:val="left"/>
      </w:pPr>
      <w:r>
        <w:rPr>
          <w:u w:val="single"/>
        </w:rPr>
        <w:t xml:space="preserve">(3) Washington department of transportation projects covered by WAC 197-11-800(26) as it existed as of January 1, 2017, are not subject to the limitations imposed in subsection (2)(a) through (d) of this 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to the exemption from the state environmental policy act (SEPA) for the addition to a road of pedestrian walks, paths, sidewalks, and sidewalk extensions, exceptions requiring SEPA review for projects, other than department of transportation (DOT) projects, that require air or water discharge licenses or certain land use decisions or that occur on lands covered by water. Specifies that certain DOT sidewalk and pedestrian projects that are subject to SEPA review under an existing administrative rule do not require SEPA review as a consequence of the DOT project occurring on lands covered by water or requiring certain land use decisions or air or water discharge licenses.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c70811f434320" /></Relationships>
</file>