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835f6c628948c1" /></Relationships>
</file>

<file path=word/document.xml><?xml version="1.0" encoding="utf-8"?>
<w:document xmlns:w="http://schemas.openxmlformats.org/wordprocessingml/2006/main">
  <w:body>
    <w:p>
      <w:r>
        <w:rPr>
          <w:b/>
        </w:rPr>
        <w:r>
          <w:rPr/>
          <w:t xml:space="preserve">1296-S</w:t>
        </w:r>
      </w:r>
      <w:r>
        <w:rPr>
          <w:b/>
        </w:rPr>
        <w:t xml:space="preserve"> </w:t>
        <w:t xml:space="preserve">AMH</w:t>
      </w:r>
      <w:r>
        <w:rPr>
          <w:b/>
        </w:rPr>
        <w:t xml:space="preserve"> </w:t>
        <w:r>
          <w:rPr/>
          <w:t xml:space="preserve">NEAL</w:t>
        </w:r>
      </w:r>
      <w:r>
        <w:rPr>
          <w:b/>
        </w:rPr>
        <w:t xml:space="preserve"> </w:t>
        <w:r>
          <w:rPr/>
          <w:t xml:space="preserve">H1860.2</w:t>
        </w:r>
      </w:r>
      <w:r>
        <w:rPr>
          <w:b/>
        </w:rPr>
        <w:t xml:space="preserve"> - NOT FOR FLOOR USE</w:t>
      </w:r>
    </w:p>
    <w:p>
      <w:pPr>
        <w:ind w:left="0" w:right="0" w:firstLine="576"/>
      </w:pPr>
    </w:p>
    <w:p>
      <w:pPr>
        <w:spacing w:before="480" w:after="0" w:line="408" w:lineRule="exact"/>
      </w:pPr>
      <w:r>
        <w:rPr>
          <w:b/>
          <w:u w:val="single"/>
        </w:rPr>
        <w:t xml:space="preserve">SHB 1296</w:t>
      </w:r>
      <w:r>
        <w:t xml:space="preserve"> -</w:t>
      </w:r>
      <w:r>
        <w:t xml:space="preserve"> </w:t>
        <w:t xml:space="preserve">H AMD</w:t>
      </w:r>
      <w:r>
        <w:t xml:space="preserve"> </w:t>
      </w:r>
      <w:r>
        <w:rPr>
          <w:b/>
        </w:rPr>
        <w:t xml:space="preserve">20</w:t>
      </w:r>
    </w:p>
    <w:p>
      <w:pPr>
        <w:spacing w:before="0" w:after="0" w:line="408" w:lineRule="exact"/>
        <w:ind w:left="0" w:right="0" w:firstLine="576"/>
        <w:jc w:val="left"/>
      </w:pPr>
      <w:r>
        <w:rPr/>
        <w:t xml:space="preserve">By Representative Nealey</w:t>
      </w:r>
    </w:p>
    <w:p>
      <w:pPr>
        <w:jc w:val="right"/>
      </w:pPr>
      <w:r>
        <w:rPr>
          <w:b/>
        </w:rPr>
        <w:t xml:space="preserve">ADOPTED AS AMENDED 02/27/2017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w:t>
      </w:r>
      <w:r>
        <w:rPr>
          <w:u w:val="single"/>
        </w:rPr>
        <w:t xml:space="preserve">(i) Beginning in calendar year 2018, e</w:t>
      </w:r>
      <w:r>
        <w:rPr/>
        <w:t xml:space="preserve">very person claiming a tax preference that requires </w:t>
      </w:r>
      <w:r>
        <w:t>((</w:t>
      </w:r>
      <w:r>
        <w:rPr>
          <w:strike/>
        </w:rPr>
        <w:t xml:space="preserve">a</w:t>
      </w:r>
      <w:r>
        <w:t>))</w:t>
      </w:r>
      <w:r>
        <w:rPr/>
        <w:t xml:space="preserve"> </w:t>
      </w:r>
      <w:r>
        <w:rPr>
          <w:u w:val="single"/>
        </w:rPr>
        <w:t xml:space="preserve">an annual tax performance</w:t>
      </w:r>
      <w:r>
        <w:rPr/>
        <w:t xml:space="preserv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u w:val="single"/>
        </w:rPr>
        <w:t xml:space="preserve">(iii)</w:t>
      </w:r>
      <w:r>
        <w:rPr/>
        <w:t xml:space="preserve">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w:t>
      </w:r>
      <w:r>
        <w:t>((</w:t>
      </w:r>
      <w:r>
        <w:rPr>
          <w:strike/>
        </w:rPr>
        <w:t xml:space="preserve">,</w:t>
      </w:r>
      <w:r>
        <w:t>))</w:t>
      </w:r>
      <w:r>
        <w:rPr/>
        <w:t xml:space="preserve"> </w:t>
      </w:r>
      <w:r>
        <w:rPr>
          <w:u w:val="single"/>
        </w:rPr>
        <w:t xml:space="preserve">and</w:t>
      </w:r>
      <w:r>
        <w:rPr/>
        <w:t xml:space="preserve"> wages</w:t>
      </w:r>
      <w:r>
        <w:t>((</w:t>
      </w:r>
      <w:r>
        <w:rPr>
          <w:strike/>
        </w:rPr>
        <w:t xml:space="preserve">, and employer-provided health and retirement benefits</w:t>
      </w:r>
      <w:r>
        <w:t>))</w:t>
      </w:r>
      <w:r>
        <w:rPr/>
        <w:t xml:space="preserve">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w:t>
      </w:r>
      <w:r>
        <w:rPr>
          <w:u w:val="single"/>
        </w:rPr>
        <w:t xml:space="preserve">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w:t>
      </w:r>
      <w:r>
        <w:rPr>
          <w:u w:val="single"/>
        </w:rPr>
        <w:t xml:space="preserve">(a)</w:t>
      </w:r>
      <w:r>
        <w:rPr/>
        <w:t xml:space="preserve"> As part of the annual report, the department </w:t>
      </w:r>
      <w:r>
        <w:rPr>
          <w:u w:val="single"/>
        </w:rPr>
        <w:t xml:space="preserve">and the joint legislative audit and review committee</w:t>
      </w:r>
      <w:r>
        <w:rPr/>
        <w:t xml:space="preserve"> may request additional information necessary to measure the results of, or determine eligibility for, the tax preference.</w:t>
      </w:r>
    </w:p>
    <w:p>
      <w:pPr>
        <w:spacing w:before="0" w:after="0" w:line="408" w:lineRule="exact"/>
        <w:ind w:left="0" w:right="0" w:firstLine="576"/>
        <w:jc w:val="left"/>
      </w:pPr>
      <w:r>
        <w:rPr>
          <w:u w:val="single"/>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w:t>
      </w:r>
      <w:r>
        <w:rPr>
          <w:u w:val="single"/>
        </w:rPr>
        <w:t xml:space="preserve">(a)</w:t>
      </w:r>
      <w:r>
        <w:rPr/>
        <w:t xml:space="preserve">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w:t>
      </w:r>
      <w:r>
        <w:t>((</w:t>
      </w:r>
      <w:r>
        <w:rPr>
          <w:strike/>
        </w:rPr>
        <w:t xml:space="preserve">and</w:t>
      </w:r>
      <w:r>
        <w:t>))</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r>
        <w:rPr>
          <w:u w:val="single"/>
        </w:rPr>
        <w:t xml:space="preserve">; and</w:t>
      </w:r>
    </w:p>
    <w:p>
      <w:pPr>
        <w:spacing w:before="0" w:after="0" w:line="408" w:lineRule="exact"/>
        <w:ind w:left="0" w:right="0" w:firstLine="576"/>
        <w:jc w:val="left"/>
      </w:pPr>
      <w:r>
        <w:rPr>
          <w:u w:val="single"/>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r>
        <w:rPr/>
        <w:t xml:space="preserv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w:t>
      </w:r>
      <w:r>
        <w:t>((</w:t>
      </w:r>
      <w:r>
        <w:rPr>
          <w:strike/>
        </w:rPr>
        <w:t xml:space="preserve">survey</w:t>
      </w:r>
      <w:r>
        <w:t>))</w:t>
      </w:r>
      <w:r>
        <w:rPr/>
        <w:t xml:space="preserve"> </w:t>
      </w:r>
      <w:r>
        <w:rPr>
          <w:u w:val="single"/>
        </w:rPr>
        <w:t xml:space="preserve">report</w:t>
      </w:r>
      <w:r>
        <w:rPr/>
        <w:t xml:space="preserv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2016 c 175 s 2, 2014 c 97 s 103, 2011 c 23 s 6, &amp; 2010 c 114 s 102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t>((</w:t>
      </w:r>
      <w:r>
        <w:rPr>
          <w:strike/>
        </w:rPr>
        <w:t xml:space="preserve">survey under RCW 82.32.585 or annual</w:t>
      </w:r>
      <w:r>
        <w:t>))</w:t>
      </w:r>
      <w:r>
        <w:rPr/>
        <w:t xml:space="preserve"> </w:t>
      </w:r>
      <w:r>
        <w:rPr>
          <w:u w:val="single"/>
        </w:rPr>
        <w:t xml:space="preserve">tax performance</w:t>
      </w:r>
      <w:r>
        <w:rPr/>
        <w:t xml:space="preserve"> report under RCW 82.32.534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performance</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performance</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performance</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performance</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performance</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performance reports under RCW 82.32.534</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performance</w:t>
      </w:r>
      <w:r>
        <w:rPr/>
        <w:t xml:space="preserve"> reports ((</w:t>
      </w:r>
      <w:r>
        <w:rPr>
          <w:strike/>
        </w:rPr>
        <w:t xml:space="preserve">or surveys</w:t>
      </w:r>
      <w:r>
        <w:rPr/>
        <w:t xml:space="preserve">)) that require the reporting of employment information relating to covered employees of the client, as provided in RCW 82.32.534 </w:t>
      </w:r>
      <w:r>
        <w:t>((</w:t>
      </w:r>
      <w:r>
        <w:rPr>
          <w:strike/>
        </w:rPr>
        <w:t xml:space="preserve">or 82.32.585</w:t>
      </w:r>
      <w:r>
        <w:t>))</w:t>
      </w:r>
      <w:r>
        <w:rPr/>
        <w:t xml:space="preserve">. A client, and not the professional employer organization, is required to complete any ((</w:t>
      </w:r>
      <w:r>
        <w:rPr>
          <w:strike/>
        </w:rPr>
        <w:t xml:space="preserve">survey or</w:t>
      </w:r>
      <w:r>
        <w:rPr/>
        <w:t xml:space="preserve">)) </w:t>
      </w:r>
      <w:r>
        <w:rPr>
          <w:u w:val="single"/>
        </w:rPr>
        <w:t xml:space="preserve">tax performance</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performance report</w:t>
      </w:r>
      <w:r>
        <w:rPr/>
        <w:t xml:space="preserve"> in accordance with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w:t>
      </w:r>
      <w:r>
        <w:t>((</w:t>
      </w:r>
      <w:r>
        <w:rPr>
          <w:strike/>
        </w:rPr>
        <w:t xml:space="preserve">82.32.585</w:t>
      </w:r>
      <w:r>
        <w:t>))</w:t>
      </w:r>
      <w:r>
        <w:rPr/>
        <w:t xml:space="preserve"> </w:t>
      </w:r>
      <w:r>
        <w:rPr>
          <w:u w:val="single"/>
        </w:rPr>
        <w:t xml:space="preserve">82.32.534</w:t>
      </w:r>
      <w:r>
        <w:rPr/>
        <w:t xml:space="preserve"> apply to any tax preference that requires a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RCW 82.32.808, this subsection, and subsections (6) and (7) of this section apply, except to the extent that the legislation enacting the new preference contains an explicit exemption from these requirements; and</w:t>
      </w:r>
    </w:p>
    <w:p>
      <w:pPr>
        <w:spacing w:before="0" w:after="0" w:line="408" w:lineRule="exact"/>
        <w:ind w:left="0" w:right="0" w:firstLine="576"/>
        <w:jc w:val="left"/>
      </w:pPr>
      <w:r>
        <w:rPr>
          <w:u w:val="single"/>
        </w:rPr>
        <w:t xml:space="preserve">(b) T</w:t>
      </w:r>
      <w:r>
        <w:rPr/>
        <w:t xml:space="preserve">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w:t>
      </w:r>
      <w:r>
        <w:t>((</w:t>
      </w:r>
      <w:r>
        <w:rPr>
          <w:strike/>
        </w:rPr>
        <w:t xml:space="preserve">Beginning July 1, 2025</w:t>
      </w:r>
      <w:r>
        <w:t>))</w:t>
      </w:r>
      <w:r>
        <w:rPr/>
        <w:t xml:space="preserve"> </w:t>
      </w:r>
      <w:r>
        <w:rPr>
          <w:u w:val="single"/>
        </w:rPr>
        <w:t xml:space="preserve">Except as provided otherwise in (c)(iii) of this subsection, from July 1, 2025, until January 1, 2036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w:t>
      </w:r>
      <w:r>
        <w:rPr>
          <w:u w:val="single"/>
        </w:rPr>
        <w:t xml:space="preserve">Until January 1, 2026, t</w:t>
      </w:r>
      <w:r>
        <w:rPr/>
        <w:t xml:space="preserve">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performance</w:t>
      </w:r>
      <w:r>
        <w:rPr/>
        <w:t xml:space="preserve">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w:t>
      </w:r>
      <w:r>
        <w:rPr>
          <w:u w:val="single"/>
        </w:rPr>
        <w:t xml:space="preserve">and before January 1, 2026,</w:t>
      </w:r>
      <w:r>
        <w:rPr/>
        <w:t xml:space="preserve">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w:t>
      </w:r>
      <w:r>
        <w:rPr>
          <w:u w:val="single"/>
        </w:rPr>
        <w:t xml:space="preserve">and before January 1, 2026,</w:t>
      </w:r>
      <w:r>
        <w:rPr/>
        <w:t xml:space="preserve">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w:t>
      </w:r>
      <w:r>
        <w:rPr>
          <w:u w:val="single"/>
        </w:rPr>
        <w:t xml:space="preserve">and before January 1, 2026,</w:t>
      </w:r>
      <w:r>
        <w:rPr/>
        <w:t xml:space="preserve">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performance report</w:t>
      </w:r>
      <w:r>
        <w:rPr/>
        <w:t xml:space="preserve">, and the applicant is not required to file a complete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performance report</w:t>
      </w:r>
      <w:r>
        <w:rPr/>
        <w:t xml:space="preserve"> required by this section to study the tax deferral program authorized under this chapter. The department must report to the legislature by December 1, </w:t>
      </w:r>
      <w:r>
        <w:t>((</w:t>
      </w:r>
      <w:r>
        <w:rPr>
          <w:strike/>
        </w:rPr>
        <w:t xml:space="preserve">2019</w:t>
      </w:r>
      <w:r>
        <w:t>))</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9, 13, 17, 22, 24, 30, 32, and 45, chapter . . ., Laws of 2017 (sections 9, 13, 17, 22, 24, 30, 32, and 45 of this act)</w:t>
      </w:r>
      <w:r>
        <w:rPr/>
        <w:t xml:space="preserve"> </w:t>
      </w:r>
      <w:r>
        <w:rPr>
          <w:u w:val="single"/>
        </w:rPr>
        <w:t xml:space="preserve">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9, 13, 17, 22, 24, 30, 32, and 45, chapter . . ., Laws of 2017 (sections 9, 13, 17, 22, 24, 30, 32, and 45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Restores the reporting schedule for deferrals of tax. Removes the requirement to include health and retirement benefit information on most annual tax performance reports. Authorizes taxpayers to opt to allow the Employment Security Department to provide employment and wage information to the Department of Revenue and the Joint Legislative Audit and Review Committee (JLARC) in order to reduce the reporting burden on the taxpayer. Allows JLARC to request additional information from a taxpayer to measure the results of the tax preference. Restores the requirement that if a taxpayer fails to file a required tax performance report for a tax deferral, 12.5 percent of the deferred tax is immediately due, and if the economic benefits pass to a lessee, the lessee is responsible for payment.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49dd79da194f6a" /></Relationships>
</file>