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adb84258c044721" /></Relationships>
</file>

<file path=word/document.xml><?xml version="1.0" encoding="utf-8"?>
<w:document xmlns:w="http://schemas.openxmlformats.org/wordprocessingml/2006/main">
  <w:body>
    <w:p>
      <w:r>
        <w:rPr>
          <w:b/>
        </w:rPr>
        <w:r>
          <w:rPr/>
          <w:t xml:space="preserve">1711-S2</w:t>
        </w:r>
      </w:r>
      <w:r>
        <w:rPr>
          <w:b/>
        </w:rPr>
        <w:t xml:space="preserve"> </w:t>
        <w:t xml:space="preserve">AMH</w:t>
      </w:r>
      <w:r>
        <w:rPr>
          <w:b/>
        </w:rPr>
        <w:t xml:space="preserve"> </w:t>
        <w:r>
          <w:rPr/>
          <w:t xml:space="preserve">KRET</w:t>
        </w:r>
      </w:r>
      <w:r>
        <w:rPr>
          <w:b/>
        </w:rPr>
        <w:t xml:space="preserve"> </w:t>
        <w:r>
          <w:rPr/>
          <w:t xml:space="preserve">H2243.2</w:t>
        </w:r>
      </w:r>
      <w:r>
        <w:rPr>
          <w:b/>
        </w:rPr>
        <w:t xml:space="preserve"> - NOT FOR FLOOR USE</w:t>
      </w:r>
    </w:p>
    <w:p>
      <w:pPr>
        <w:ind w:left="0" w:right="0" w:firstLine="576"/>
      </w:pPr>
    </w:p>
    <w:p>
      <w:pPr>
        <w:spacing w:before="480" w:after="0" w:line="408" w:lineRule="exact"/>
      </w:pPr>
      <w:r>
        <w:rPr>
          <w:b/>
          <w:u w:val="single"/>
        </w:rPr>
        <w:t xml:space="preserve">2SHB 1711</w:t>
      </w:r>
      <w:r>
        <w:t xml:space="preserve"> -</w:t>
      </w:r>
      <w:r>
        <w:t xml:space="preserve"> </w:t>
        <w:t xml:space="preserve">H AMD</w:t>
      </w:r>
      <w:r>
        <w:t xml:space="preserve"> </w:t>
      </w:r>
      <w:r>
        <w:rPr>
          <w:b/>
        </w:rPr>
        <w:t xml:space="preserve">130</w:t>
      </w:r>
    </w:p>
    <w:p>
      <w:pPr>
        <w:spacing w:before="0" w:after="0" w:line="408" w:lineRule="exact"/>
        <w:ind w:left="0" w:right="0" w:firstLine="576"/>
        <w:jc w:val="left"/>
      </w:pPr>
      <w:r>
        <w:rPr/>
        <w:t xml:space="preserve">By Representative Kretz</w:t>
      </w:r>
    </w:p>
    <w:p>
      <w:pPr>
        <w:jc w:val="right"/>
      </w:pPr>
      <w:r>
        <w:rPr>
          <w:b/>
        </w:rPr>
        <w:t xml:space="preserve">ADOPTED 03/06/2017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The department shall, to the extent feasible given all applicable trust responsibilities, develop and implement a policy for prioritizing investments on forest health treatments to protect state lands and state forestlands, as those terms are defined in RCW 79.02.010, to: (i) Reduce wildfire hazards and losses from wildfire; (ii) reduce insect infestation and disease; and (iii) achieve cumulative impact of improved forest health and resilience at a landscape scale.</w:t>
      </w:r>
    </w:p>
    <w:p>
      <w:pPr>
        <w:spacing w:before="0" w:after="0" w:line="408" w:lineRule="exact"/>
        <w:ind w:left="0" w:right="0" w:firstLine="576"/>
        <w:jc w:val="left"/>
      </w:pPr>
      <w:r>
        <w:rPr/>
        <w:t xml:space="preserve">(b) The prioritization policy in (a) of this subsection must consider whether state lands and state forestlands are within an area that is subject to a forest health hazard warning or order pursuant to RCW 76.06.180.</w:t>
      </w:r>
    </w:p>
    <w:p>
      <w:pPr>
        <w:spacing w:before="0" w:after="0" w:line="408" w:lineRule="exact"/>
        <w:ind w:left="0" w:right="0" w:firstLine="576"/>
        <w:jc w:val="left"/>
      </w:pPr>
      <w:r>
        <w:rPr/>
        <w:t xml:space="preserve">(2)(a) The department's prioritization of state lands and state forestlands must be based on an evaluation of the economic and noneconomic value of:</w:t>
      </w:r>
    </w:p>
    <w:p>
      <w:pPr>
        <w:spacing w:before="0" w:after="0" w:line="408" w:lineRule="exact"/>
        <w:ind w:left="0" w:right="0" w:firstLine="576"/>
        <w:jc w:val="left"/>
      </w:pPr>
      <w:r>
        <w:rPr/>
        <w:t xml:space="preserve">(i) Timber or other commercial forest products removed during any mechanical treatments;</w:t>
      </w:r>
    </w:p>
    <w:p>
      <w:pPr>
        <w:spacing w:before="0" w:after="0" w:line="408" w:lineRule="exact"/>
        <w:ind w:left="0" w:right="0" w:firstLine="576"/>
        <w:jc w:val="left"/>
      </w:pPr>
      <w:r>
        <w:rPr/>
        <w:t xml:space="preserve">(ii) Timber or other commercial forest products likely to be spared from damage by wildfire;</w:t>
      </w:r>
    </w:p>
    <w:p>
      <w:pPr>
        <w:spacing w:before="0" w:after="0" w:line="408" w:lineRule="exact"/>
        <w:ind w:left="0" w:right="0" w:firstLine="576"/>
        <w:jc w:val="left"/>
      </w:pPr>
      <w:r>
        <w:rPr/>
        <w:t xml:space="preserve">(iii) Homes, structures, agricultural products, and public infrastructure likely to be spared from damage by wildfire;</w:t>
      </w:r>
    </w:p>
    <w:p>
      <w:pPr>
        <w:spacing w:before="0" w:after="0" w:line="408" w:lineRule="exact"/>
        <w:ind w:left="0" w:right="0" w:firstLine="576"/>
        <w:jc w:val="left"/>
      </w:pPr>
      <w:r>
        <w:rPr/>
        <w:t xml:space="preserve">(iv) Impacts to recreation and tourism; and</w:t>
      </w:r>
    </w:p>
    <w:p>
      <w:pPr>
        <w:spacing w:before="0" w:after="0" w:line="408" w:lineRule="exact"/>
        <w:ind w:left="0" w:right="0" w:firstLine="576"/>
        <w:jc w:val="left"/>
      </w:pPr>
      <w:r>
        <w:rPr/>
        <w:t xml:space="preserve">(v) Ecosystem services such as water quality, air quality, or carbon sequestration.</w:t>
      </w:r>
    </w:p>
    <w:p>
      <w:pPr>
        <w:spacing w:before="0" w:after="0" w:line="408" w:lineRule="exact"/>
        <w:ind w:left="0" w:right="0" w:firstLine="576"/>
        <w:jc w:val="left"/>
      </w:pPr>
      <w:r>
        <w:rPr/>
        <w:t xml:space="preserve">(b) The department's evaluation of economic values may rely on heuristic techniques.</w:t>
      </w:r>
    </w:p>
    <w:p>
      <w:pPr>
        <w:spacing w:before="0" w:after="0" w:line="408" w:lineRule="exact"/>
        <w:ind w:left="0" w:right="0" w:firstLine="576"/>
        <w:jc w:val="left"/>
      </w:pPr>
      <w:r>
        <w:rPr/>
        <w:t xml:space="preserve">(3) The definitions in this subsection apply throughout this section and sections 2 and 3 of this act unless the context clearly requires otherwise.</w:t>
      </w:r>
    </w:p>
    <w:p>
      <w:pPr>
        <w:spacing w:before="0" w:after="0" w:line="408" w:lineRule="exact"/>
        <w:ind w:left="0" w:right="0" w:firstLine="576"/>
        <w:jc w:val="left"/>
      </w:pPr>
      <w:r>
        <w:rPr/>
        <w:t xml:space="preserve">(a) "Forest health" has the same meaning as defined in RCW 76.06.020.</w:t>
      </w:r>
    </w:p>
    <w:p>
      <w:pPr>
        <w:spacing w:before="0" w:after="0" w:line="408" w:lineRule="exact"/>
        <w:ind w:left="0" w:right="0" w:firstLine="576"/>
        <w:jc w:val="left"/>
      </w:pPr>
      <w:r>
        <w:rPr/>
        <w:t xml:space="preserve">(b) "Forest health treatment" or "treatment" means actions taken by the department to restore forest health including, but not limited to, sublandscape assessment and project planning, site preparation, reforestation, mechanical treatments including timber harvest, road realignment for fire protection and aquatic improvements, and prescribed burning.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Consistent with the prioritization policy developed pursuant to section 1 of this act, and to the extent feasible given all applicable trust responsibilities, the department must identify areas of state lands and state forestlands that would benefit from forest health treatments at the landscape level for the next twenty years, and ones that would benefit the most during the following six years, and prioritize and list specific lands for treatment during the subsequent biennium. The department shall update this list by November 15th of each even-numbered year.</w:t>
      </w:r>
    </w:p>
    <w:p>
      <w:pPr>
        <w:spacing w:before="0" w:after="0" w:line="408" w:lineRule="exact"/>
        <w:ind w:left="0" w:right="0" w:firstLine="576"/>
        <w:jc w:val="left"/>
      </w:pPr>
      <w:r>
        <w:rPr/>
        <w:t xml:space="preserve">(b) To expedite initial treatments under this act, for the 2017-2019 biennium the department may prioritize and, if funds are appropriated for this purpose, address lands for treatment that are currently identified by the department as pilot treatment projects.</w:t>
      </w:r>
    </w:p>
    <w:p>
      <w:pPr>
        <w:spacing w:before="0" w:after="0" w:line="408" w:lineRule="exact"/>
        <w:ind w:left="0" w:right="0" w:firstLine="576"/>
        <w:jc w:val="left"/>
      </w:pPr>
      <w:r>
        <w:rPr/>
        <w:t xml:space="preserve">(2) In order to develop a prioritized list that evaluates forest health treatments at a landscape scale, the department should consult with and take into account the land management plans and activities of nearby landowners, if available, including federal agencies, other state agencies, local governments, tribes, and private property owners, in addition to any statewide assessments done by the department. The department may include federally, locally, or privately managed lands on the list. The department may fund treatment on these lands provided that the treatments are funded with nontrust funds, and provided that the treatments produce a net benefit to the health of state lands and state forestlands.</w:t>
      </w:r>
    </w:p>
    <w:p>
      <w:pPr>
        <w:spacing w:before="0" w:after="0" w:line="408" w:lineRule="exact"/>
        <w:ind w:left="0" w:right="0" w:firstLine="576"/>
        <w:jc w:val="left"/>
      </w:pPr>
      <w:r>
        <w:rPr/>
        <w:t xml:space="preserve">(3) By December 1st of each even-numbered year, the department must submit a report to the legislature consistent with the requirements of RCW 43.01.036, to the office of financial management, and to the board of natural resources. The report must include:</w:t>
      </w:r>
    </w:p>
    <w:p>
      <w:pPr>
        <w:spacing w:before="0" w:after="0" w:line="408" w:lineRule="exact"/>
        <w:ind w:left="0" w:right="0" w:firstLine="576"/>
        <w:jc w:val="left"/>
      </w:pPr>
      <w:r>
        <w:rPr/>
        <w:t xml:space="preserve">(a) A brief summary of the department's progress towards treating the state lands and state forestlands included on the preceding biennium's prioritization list;</w:t>
      </w:r>
    </w:p>
    <w:p>
      <w:pPr>
        <w:spacing w:before="0" w:after="0" w:line="408" w:lineRule="exact"/>
        <w:ind w:left="0" w:right="0" w:firstLine="576"/>
        <w:jc w:val="left"/>
      </w:pPr>
      <w:r>
        <w:rPr/>
        <w:t xml:space="preserve">(b) A list of lands prioritized for forest health treatments in the next biennium, including state lands and state forestlands prioritized for treatment pursuant to subsection (1) of this section;</w:t>
      </w:r>
    </w:p>
    <w:p>
      <w:pPr>
        <w:spacing w:before="0" w:after="0" w:line="408" w:lineRule="exact"/>
        <w:ind w:left="0" w:right="0" w:firstLine="576"/>
        <w:jc w:val="left"/>
      </w:pPr>
      <w:r>
        <w:rPr/>
        <w:t xml:space="preserve">(c) Recommended funding amounts required to carry out the treatment activities for the next biennium, including a summary of potential nontimber revenue sources that could finance specific forest health treatments pursuant to section 1 of this act, including but not limited to ecosystem services such as water and carbon sequestration as well as insurance and fire mitigation; and</w:t>
      </w:r>
    </w:p>
    <w:p>
      <w:pPr>
        <w:spacing w:before="0" w:after="0" w:line="408" w:lineRule="exact"/>
        <w:ind w:left="0" w:right="0" w:firstLine="576"/>
        <w:jc w:val="left"/>
      </w:pPr>
      <w:r>
        <w:rPr/>
        <w:t xml:space="preserve">(d) A summary of trends in forest health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(1)(a) The forest health revolving account is created in the custody of the state treasurer. All receipts from the proceeds of forest health treatment sales as defined in this section and sections 1 and 2 of this act and all legislative transfers, gifts, grants, and federal funds must be deposited into the account. Expenditures from the account may be used only for the payment of costs, including management and administrative costs, incurred on forest health treatments necessary to improve forest health as defined in section 1 of this act. Only the commissioner or the commissioner's designee may authorize expenditures from the account. The board of natural resources has oversight of the account, and the commissioner must periodically report to the board of natural resources as to the status of the account, its disbursement, and receipts. The account is subject to allotment procedures under chapter 43.88 RCW, but an appropriation is not required for expenditures.</w:t>
      </w:r>
    </w:p>
    <w:p>
      <w:pPr>
        <w:spacing w:before="0" w:after="0" w:line="408" w:lineRule="exact"/>
        <w:ind w:left="0" w:right="0" w:firstLine="576"/>
        <w:jc w:val="left"/>
      </w:pPr>
      <w:r>
        <w:rPr/>
        <w:t xml:space="preserve">(b) The forest health revolving account is an interest-bearing account and the interest must be credited to the account.</w:t>
      </w:r>
    </w:p>
    <w:p>
      <w:pPr>
        <w:spacing w:before="0" w:after="0" w:line="408" w:lineRule="exact"/>
        <w:ind w:left="0" w:right="0" w:firstLine="576"/>
        <w:jc w:val="left"/>
      </w:pPr>
      <w:r>
        <w:rPr/>
        <w:t xml:space="preserve">(2) Beginning calendar year 2018, the fund balance attributable to the receipts from the proceeds of forest health treatment sales is subject to the following:</w:t>
      </w:r>
    </w:p>
    <w:p>
      <w:pPr>
        <w:spacing w:before="0" w:after="0" w:line="408" w:lineRule="exact"/>
        <w:ind w:left="0" w:right="0" w:firstLine="576"/>
        <w:jc w:val="left"/>
      </w:pPr>
      <w:r>
        <w:rPr/>
        <w:t xml:space="preserve">(a) Any unobligated amounts up to ten million dollars at the end of the calendar year are not subject to disbursements to trust beneficiaries, the resource management account, or the forest development account.</w:t>
      </w:r>
    </w:p>
    <w:p>
      <w:pPr>
        <w:spacing w:before="0" w:after="0" w:line="408" w:lineRule="exact"/>
        <w:ind w:left="0" w:right="0" w:firstLine="576"/>
        <w:jc w:val="left"/>
      </w:pPr>
      <w:r>
        <w:rPr/>
        <w:t xml:space="preserve">(b) Any unobligated amounts exceeding ten million dollars at the end of the calendar year must be disbursed to the appropriate trust beneficiaries as determined by the board of natural resources and these disbursements are not subject to the deductions for the resource management cost account described in RCW 79.64.040 or the forest development account described in RCW 79.64.110.</w:t>
      </w:r>
    </w:p>
    <w:p>
      <w:pPr>
        <w:spacing w:before="0" w:after="0" w:line="408" w:lineRule="exact"/>
        <w:ind w:left="0" w:right="0" w:firstLine="576"/>
        <w:jc w:val="left"/>
      </w:pPr>
      <w:r>
        <w:rPr/>
        <w:t xml:space="preserve">(c) If the board of natural resources determines that the department has permanently discontinued using the forest health revolving account for the forest health treatments under sections 1 and 2 of this act, the board must disburse all remaining fund balance attributable to the proceeds of forest health treatment sales to the appropriate trust beneficiaries, and these disbursements are not subject to the deductions for the resource management cost account described in RCW 79.64.040 or the forest development account described in RCW 79.64.110.</w:t>
      </w:r>
    </w:p>
    <w:p>
      <w:pPr>
        <w:spacing w:before="0" w:after="0" w:line="408" w:lineRule="exact"/>
        <w:ind w:left="0" w:right="0" w:firstLine="576"/>
        <w:jc w:val="left"/>
      </w:pPr>
      <w:r>
        <w:rPr/>
        <w:t xml:space="preserve">(3)(a) Except as provided in (b) and (c) of this subsection, expenditures on state lands and state forestlands for forest health treatments by the department from the forest health revolving account must be consistent with the prioritization policy under section 1 of this act and the prioritization list created under section 2 of this act.</w:t>
      </w:r>
    </w:p>
    <w:p>
      <w:pPr>
        <w:spacing w:before="0" w:after="0" w:line="408" w:lineRule="exact"/>
        <w:ind w:left="0" w:right="0" w:firstLine="576"/>
        <w:jc w:val="left"/>
      </w:pPr>
      <w:r>
        <w:rPr/>
        <w:t xml:space="preserve">(b) The department is not bound to adhere to the list submitted to the legislature under section 1 of this act in the event that emerging information or changed circumstances support a reprioritization of lands consistent with the policy created under section 1 of this act.</w:t>
      </w:r>
    </w:p>
    <w:p>
      <w:pPr>
        <w:spacing w:before="0" w:after="0" w:line="408" w:lineRule="exact"/>
        <w:ind w:left="0" w:right="0" w:firstLine="576"/>
        <w:jc w:val="left"/>
      </w:pPr>
      <w:r>
        <w:rPr/>
        <w:t xml:space="preserve">(c) The department is not required to apply the prioritization policy of section 1 of this act where doing so would be incompatible with the conditions of funding provided by the federal government or another organization that is contributing funds to forest health treatments involving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325</w:t>
      </w:r>
      <w:r>
        <w:rPr/>
        <w:t xml:space="preserve"> and 2003 c 334 s 125 and 2003 c 313 s 9 are each reenacted and amended to read as follows:</w:t>
      </w:r>
    </w:p>
    <w:p>
      <w:pPr>
        <w:spacing w:before="0" w:after="0" w:line="408" w:lineRule="exact"/>
        <w:ind w:left="0" w:right="0" w:firstLine="576"/>
        <w:jc w:val="left"/>
      </w:pPr>
      <w:r>
        <w:rPr/>
        <w:t xml:space="preserve">(1) The department shall deposit daily all moneys and fees collected or received by the commissioner and the department in the discharge of official duties as follows:</w:t>
      </w:r>
    </w:p>
    <w:p>
      <w:pPr>
        <w:spacing w:before="0" w:after="0" w:line="408" w:lineRule="exact"/>
        <w:ind w:left="0" w:right="0" w:firstLine="576"/>
        <w:jc w:val="left"/>
      </w:pPr>
      <w:r>
        <w:rPr/>
        <w:t xml:space="preserve">(a) The department shall pay moneys received as advance payments, deposits, and security from successful bidders under RCW 79.15.100 and 79.11.150 to the state treasurer for deposit under (b) of this subsection. Moneys received from unsuccessful bidders shall be returned as provided in RCW 79.11.150;</w:t>
      </w:r>
    </w:p>
    <w:p>
      <w:pPr>
        <w:spacing w:before="0" w:after="0" w:line="408" w:lineRule="exact"/>
        <w:ind w:left="0" w:right="0" w:firstLine="576"/>
        <w:jc w:val="left"/>
      </w:pPr>
      <w:r>
        <w:rPr/>
        <w:t xml:space="preserve">(b) The department shall pay all moneys received on behalf of a trust fund or account to the state treasurer for deposit in the trust fund or account after making the deduction authorized under RCW </w:t>
      </w:r>
      <w:r>
        <w:t>((</w:t>
      </w:r>
      <w:r>
        <w:rPr>
          <w:strike/>
        </w:rPr>
        <w:t xml:space="preserve">79.22.040</w:t>
      </w:r>
      <w:r>
        <w:t>))</w:t>
      </w:r>
      <w:r>
        <w:rPr/>
        <w:t xml:space="preserve"> </w:t>
      </w:r>
      <w:r>
        <w:rPr>
          <w:u w:val="single"/>
        </w:rPr>
        <w:t xml:space="preserve">79.64.110</w:t>
      </w:r>
      <w:r>
        <w:rPr/>
        <w:t xml:space="preserve">, 79.22.050, 79.64.040, and 79.15.520</w:t>
      </w:r>
      <w:r>
        <w:rPr>
          <w:u w:val="single"/>
        </w:rPr>
        <w:t xml:space="preserve">, except as provided in section 3 of this act</w:t>
      </w:r>
      <w:r>
        <w:rPr/>
        <w:t xml:space="preserve">;</w:t>
      </w:r>
    </w:p>
    <w:p>
      <w:pPr>
        <w:spacing w:before="0" w:after="0" w:line="408" w:lineRule="exact"/>
        <w:ind w:left="0" w:right="0" w:firstLine="576"/>
        <w:jc w:val="left"/>
      </w:pPr>
      <w:r>
        <w:rPr/>
        <w:t xml:space="preserve">(c) The natural resources deposit fund is hereby created. The state treasurer is the custodian of the fund. All moneys or sums which remain in the custody of the commissioner of public lands awaiting disposition or where the final disposition is not known shall be deposited into the natural resources deposit fund. Disbursement from the fund shall be on the authorization of the commissioner or the commissioner's designee, without necessity of appropriation;</w:t>
      </w:r>
    </w:p>
    <w:p>
      <w:pPr>
        <w:spacing w:before="0" w:after="0" w:line="408" w:lineRule="exact"/>
        <w:ind w:left="0" w:right="0" w:firstLine="576"/>
        <w:jc w:val="left"/>
      </w:pPr>
      <w:r>
        <w:rPr/>
        <w:t xml:space="preserve">(d) If it is required by law that the department repay moneys disbursed under (a) and (b) of this subsection the state treasurer shall transfer such moneys, without necessity of appropriation, to the department upon demand by the department from those trusts and accounts originally receiving the moneys.</w:t>
      </w:r>
    </w:p>
    <w:p>
      <w:pPr>
        <w:spacing w:before="0" w:after="0" w:line="408" w:lineRule="exact"/>
        <w:ind w:left="0" w:right="0" w:firstLine="576"/>
        <w:jc w:val="left"/>
      </w:pPr>
      <w:r>
        <w:rPr/>
        <w:t xml:space="preserve">(2) Money shall not be deemed to have been paid to the state upon any sale or lease of land until it has been paid to the state treasurer.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2015 3rd sp.s. c 4 s 972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w:t>
      </w:r>
      <w:r>
        <w:rPr>
          <w:u w:val="single"/>
        </w:rPr>
        <w:t xml:space="preserve">except as provided in section 3 of this act,</w:t>
      </w:r>
      <w:r>
        <w:rPr/>
        <w:t xml:space="preserve">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During the 2013-2015 fiscal biennium, the twenty-five percent limitation on deductions set in subsection (3) of this section may be increased up to thirty percent by the board. During the 2015-2017 fiscal biennium, the board may increase the twenty-five percent limitation up to thirty-two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2015 3rd sp.s. c 4 s 973 are each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w:t>
      </w:r>
      <w:r>
        <w:rPr>
          <w:u w:val="single"/>
        </w:rPr>
        <w:t xml:space="preserve">except as provided in section 3 of this act,</w:t>
      </w:r>
      <w:r>
        <w:rPr/>
        <w:t xml:space="preserve">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During the 2015-2017 fiscal biennium,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and the levy rate for any maintenance and operation special school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w:t>
      </w:r>
      <w:r>
        <w:rPr>
          <w:u w:val="single"/>
        </w:rPr>
        <w:t xml:space="preserve">the forest health revolving account,</w:t>
      </w:r>
      <w:r>
        <w:rPr/>
        <w:t xml:space="preserve">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Permits the department of natural resources to fund forest health treatments on nonstate-owned lands as long as the treatments are funded by nontrust funds and as long as the treatments produce a net benefit to the health of state lands and state forestlands. Makes the following changes to the forest health revolving account: Changes the limit on the amount of forest health proceeds that remain in the account from 20 million dollars to 10 million dollars, distributes any forest health proceeds in the account to trust beneficiaries in the event the account's use is discontinued, specifies that management and administrative costs are an allowable use, and specifies that forest health proceeds in the account are not distributed to the resource management cost account or forest development account.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ba9c97650d4611" /></Relationships>
</file>