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71b37b53a41b9"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STEE</w:t>
        </w:r>
      </w:r>
      <w:r>
        <w:rPr>
          <w:b/>
        </w:rPr>
        <w:t xml:space="preserve"> </w:t>
        <w:r>
          <w:rPr/>
          <w:t xml:space="preserve">H2759.1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584</w:t>
      </w:r>
    </w:p>
    <w:p>
      <w:pPr>
        <w:spacing w:before="0" w:after="0" w:line="408" w:lineRule="exact"/>
        <w:ind w:left="0" w:right="0" w:firstLine="576"/>
        <w:jc w:val="left"/>
      </w:pPr>
      <w:r>
        <w:rPr/>
        <w:t xml:space="preserve">By Representative Steele</w:t>
      </w:r>
    </w:p>
    <w:p>
      <w:pPr>
        <w:jc w:val="right"/>
      </w:pPr>
      <w:r>
        <w:rPr>
          <w:b/>
        </w:rPr>
        <w:t xml:space="preserve">NOT CONSIDERED 01/05/2018</w:t>
      </w:r>
    </w:p>
    <w:p>
      <w:pPr>
        <w:spacing w:before="0" w:after="0" w:line="408" w:lineRule="exact"/>
        <w:ind w:left="0" w:right="0" w:firstLine="576"/>
        <w:jc w:val="left"/>
      </w:pPr>
      <w:r>
        <w:rPr/>
        <w:t xml:space="preserve">On page 1, line 20, after "code city" insert "that:</w:t>
      </w:r>
    </w:p>
    <w:p>
      <w:pPr>
        <w:spacing w:before="0" w:after="0" w:line="408" w:lineRule="exact"/>
        <w:ind w:left="0" w:right="0" w:firstLine="576"/>
        <w:jc w:val="left"/>
      </w:pPr>
      <w:r>
        <w:rPr/>
        <w:t xml:space="preserve">(i) Is not located in a county with a population of one million five hundred thousand or more; and</w:t>
      </w:r>
    </w:p>
    <w:p>
      <w:pPr>
        <w:spacing w:before="0" w:after="0" w:line="408" w:lineRule="exact"/>
        <w:ind w:left="0" w:right="0" w:firstLine="576"/>
        <w:jc w:val="left"/>
      </w:pPr>
      <w:r>
        <w:rPr/>
        <w:t xml:space="preserve">(ii) Has a population less than forty thousand persons"</w:t>
      </w:r>
    </w:p>
    <w:p>
      <w:pPr>
        <w:spacing w:before="0" w:after="0" w:line="408" w:lineRule="exact"/>
        <w:ind w:left="0" w:right="0" w:firstLine="576"/>
        <w:jc w:val="left"/>
      </w:pPr>
      <w:r>
        <w:rPr/>
        <w:t xml:space="preserve">On page 3, line 3, after "(3)" insert "A remittance under this chapter is only available on a first-in-time basis. The department must keep a running total of all approved remittances under this section during each fiscal year. The department may not allow any remittance that would cause the total remittance amount allowed under this chapter to exceed one million two hundred fifty thousand dollars in any fiscal year. If all or part of a claim for a remittance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On page 8, line 39, after "2017" insert "1st sp. sess."</w:t>
      </w:r>
    </w:p>
    <w:p>
      <w:pPr>
        <w:spacing w:before="0" w:after="0" w:line="408" w:lineRule="exact"/>
        <w:ind w:left="0" w:right="0" w:firstLine="576"/>
        <w:jc w:val="left"/>
      </w:pPr>
      <w:r>
        <w:rPr>
          <w:u w:val="single"/>
        </w:rPr>
        <w:t xml:space="preserve">EFFECT:</w:t>
      </w:r>
      <w:r>
        <w:rPr/>
        <w:t xml:space="preserve"> Provides that cities within King county are not eligible for the sales tax remittance created in this bill.</w:t>
      </w:r>
    </w:p>
    <w:p>
      <w:pPr>
        <w:spacing w:before="0" w:after="0" w:line="408" w:lineRule="exact"/>
        <w:ind w:left="0" w:right="0" w:firstLine="576"/>
        <w:jc w:val="left"/>
      </w:pPr>
      <w:r>
        <w:rPr/>
        <w:t xml:space="preserve">Limits the availability of the tax remittance to cities with populations less than 40,000 persons.</w:t>
      </w:r>
    </w:p>
    <w:p>
      <w:pPr>
        <w:spacing w:before="0" w:after="0" w:line="408" w:lineRule="exact"/>
        <w:ind w:left="0" w:right="0" w:firstLine="576"/>
        <w:jc w:val="left"/>
      </w:pPr>
      <w:r>
        <w:rPr/>
        <w:t xml:space="preserve">Places a $1.25 million annual cap on the total state sales tax incentive.</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f0f82188034688" /></Relationships>
</file>