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e956a160a14ef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1800-S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MCDO</w:t>
        </w:r>
      </w:r>
      <w:r>
        <w:rPr>
          <w:b/>
        </w:rPr>
        <w:t xml:space="preserve"> </w:t>
        <w:r>
          <w:rPr/>
          <w:t xml:space="preserve">H4177.1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1800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797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McDonald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beginning on line 31, after "this act." strike all material through "filed." on line 33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11, line 38, after "initial notice." strike all material through "filed." on page 12, line 2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provision that beginning in 2021 the period for a subdivision to remedy a violation before a court action is filed is reduced to ninety days after notice is received.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82f7c975884b8d" /></Relationships>
</file>