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15ef612c934528" /></Relationships>
</file>

<file path=word/document.xml><?xml version="1.0" encoding="utf-8"?>
<w:document xmlns:w="http://schemas.openxmlformats.org/wordprocessingml/2006/main">
  <w:body>
    <w:p>
      <w:r>
        <w:rPr>
          <w:b/>
        </w:rPr>
        <w:r>
          <w:rPr/>
          <w:t xml:space="preserve">2057-S.E</w:t>
        </w:r>
      </w:r>
      <w:r>
        <w:rPr>
          <w:b/>
        </w:rPr>
        <w:t xml:space="preserve"> </w:t>
        <w:t xml:space="preserve">AMH</w:t>
      </w:r>
      <w:r>
        <w:rPr>
          <w:b/>
        </w:rPr>
        <w:t xml:space="preserve"> </w:t>
        <w:r>
          <w:rPr/>
          <w:t xml:space="preserve">ORWA</w:t>
        </w:r>
      </w:r>
      <w:r>
        <w:rPr>
          <w:b/>
        </w:rPr>
        <w:t xml:space="preserve"> </w:t>
        <w:r>
          <w:rPr/>
          <w:t xml:space="preserve">H3641.3</w:t>
        </w:r>
      </w:r>
      <w:r>
        <w:rPr>
          <w:b/>
        </w:rPr>
        <w:t xml:space="preserve"> - NOT FOR FLOOR USE</w:t>
      </w:r>
    </w:p>
    <w:p>
      <w:pPr>
        <w:ind w:left="0" w:right="0" w:firstLine="576"/>
      </w:pPr>
    </w:p>
    <w:p>
      <w:pPr>
        <w:spacing w:before="480" w:after="0" w:line="408" w:lineRule="exact"/>
      </w:pPr>
      <w:r>
        <w:rPr>
          <w:b/>
          <w:u w:val="single"/>
        </w:rPr>
        <w:t xml:space="preserve">ESHB 2057</w:t>
      </w:r>
      <w:r>
        <w:t xml:space="preserve"> -</w:t>
      </w:r>
      <w:r>
        <w:t xml:space="preserve"> </w:t>
        <w:t xml:space="preserve">H AMD</w:t>
      </w:r>
      <w:r>
        <w:t xml:space="preserve"> </w:t>
      </w:r>
      <w:r>
        <w:rPr>
          <w:b/>
        </w:rPr>
        <w:t xml:space="preserve">680</w:t>
      </w:r>
    </w:p>
    <w:p>
      <w:pPr>
        <w:spacing w:before="0" w:after="0" w:line="408" w:lineRule="exact"/>
        <w:ind w:left="0" w:right="0" w:firstLine="576"/>
        <w:jc w:val="left"/>
      </w:pPr>
      <w:r>
        <w:rPr/>
        <w:t xml:space="preserve">By Representative Orwall</w:t>
      </w:r>
    </w:p>
    <w:p>
      <w:pPr>
        <w:jc w:val="right"/>
      </w:pPr>
      <w:r>
        <w:rPr>
          <w:b/>
        </w:rPr>
        <w:t xml:space="preserve">ADOPTED 01/18/2018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173</w:t>
      </w:r>
      <w:r>
        <w:rPr/>
        <w:t xml:space="preserve"> and 2016 c 196 s 2 are each amended to read as follows:</w:t>
      </w:r>
    </w:p>
    <w:p>
      <w:pPr>
        <w:spacing w:before="0" w:after="0" w:line="408" w:lineRule="exact"/>
        <w:ind w:left="0" w:right="0" w:firstLine="576"/>
        <w:jc w:val="left"/>
      </w:pPr>
      <w:r>
        <w:rPr/>
        <w:t xml:space="preserve">(1) Except as provided in subsections </w:t>
      </w:r>
      <w:r>
        <w:t>((</w:t>
      </w:r>
      <w:r>
        <w:rPr>
          <w:strike/>
        </w:rPr>
        <w:t xml:space="preserve">(4) and</w:t>
      </w:r>
      <w:r>
        <w:t>))</w:t>
      </w:r>
      <w:r>
        <w:rPr/>
        <w:t xml:space="preserve"> (5) </w:t>
      </w:r>
      <w:r>
        <w:rPr>
          <w:u w:val="single"/>
        </w:rPr>
        <w:t xml:space="preserve">and (6)</w:t>
      </w:r>
      <w:r>
        <w:rPr/>
        <w:t xml:space="preserve"> of this section, beginning July 1, 2016, and every quarter thereafter, every beneficiary on whose behalf a notice of trustee's sale has been recorded pursuant to RCW 61.24.040 on residential real property under this chapter must:</w:t>
      </w:r>
    </w:p>
    <w:p>
      <w:pPr>
        <w:spacing w:before="0" w:after="0" w:line="408" w:lineRule="exact"/>
        <w:ind w:left="0" w:right="0" w:firstLine="576"/>
        <w:jc w:val="left"/>
      </w:pPr>
      <w:r>
        <w:rPr/>
        <w:t xml:space="preserve">(a) Report to the department the number of notices of trustee's sale recorded for each residential property during the previous quarter;</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notice of trustee's sale recorded on residential real property, the beneficiary on whose behalf the notice of trustee's sale has been recorded shall remit </w:t>
      </w:r>
      <w:r>
        <w:t>((</w:t>
      </w:r>
      <w:r>
        <w:rPr>
          <w:strike/>
        </w:rPr>
        <w:t xml:space="preserve">two</w:t>
      </w:r>
      <w:r>
        <w:t>))</w:t>
      </w:r>
      <w:r>
        <w:rPr/>
        <w:t xml:space="preserve"> </w:t>
      </w:r>
      <w:r>
        <w:rPr>
          <w:u w:val="single"/>
        </w:rPr>
        <w:t xml:space="preserve">three</w:t>
      </w:r>
      <w:r>
        <w:rPr/>
        <w:t xml:space="preserve"> hundred </w:t>
      </w:r>
      <w:r>
        <w:t>((</w:t>
      </w:r>
      <w:r>
        <w:rPr>
          <w:strike/>
        </w:rPr>
        <w:t xml:space="preserve">fifty</w:t>
      </w:r>
      <w:r>
        <w:t>))</w:t>
      </w:r>
      <w:r>
        <w:rPr/>
        <w:t xml:space="preserve"> </w:t>
      </w:r>
      <w:r>
        <w:rPr>
          <w:u w:val="single"/>
        </w:rPr>
        <w:t xml:space="preserve">twenty-five</w:t>
      </w:r>
      <w:r>
        <w:rPr/>
        <w:t xml:space="preserve"> dollars to the department to be deposited, as provided under RCW 61.24.172, into the foreclosure fairness account. The </w:t>
      </w:r>
      <w:r>
        <w:t>((</w:t>
      </w:r>
      <w:r>
        <w:rPr>
          <w:strike/>
        </w:rPr>
        <w:t xml:space="preserve">two</w:t>
      </w:r>
      <w:r>
        <w:t>))</w:t>
      </w:r>
      <w:r>
        <w:rPr/>
        <w:t xml:space="preserve"> </w:t>
      </w:r>
      <w:r>
        <w:rPr>
          <w:u w:val="single"/>
        </w:rPr>
        <w:t xml:space="preserve">three</w:t>
      </w:r>
      <w:r>
        <w:rPr/>
        <w:t xml:space="preserve"> hundred </w:t>
      </w:r>
      <w:r>
        <w:t>((</w:t>
      </w:r>
      <w:r>
        <w:rPr>
          <w:strike/>
        </w:rPr>
        <w:t xml:space="preserve">fifty</w:t>
      </w:r>
      <w:r>
        <w:t>))</w:t>
      </w:r>
      <w:r>
        <w:rPr/>
        <w:t xml:space="preserve"> </w:t>
      </w:r>
      <w:r>
        <w:rPr>
          <w:u w:val="single"/>
        </w:rPr>
        <w:t xml:space="preserve">twenty-five</w:t>
      </w:r>
      <w:r>
        <w:rPr/>
        <w:t xml:space="preserve"> dollar payment is required for every recorded notice of trustee's sale </w:t>
      </w:r>
      <w:r>
        <w:rPr>
          <w:u w:val="single"/>
        </w:rPr>
        <w:t xml:space="preserve">for noncommercial loans on residential real property</w:t>
      </w:r>
      <w:r>
        <w:rPr/>
        <w:t xml:space="preserve">, but does not apply to the recording of an amended notice of trustee's sale. </w:t>
      </w:r>
      <w:r>
        <w:t>((</w:t>
      </w:r>
      <w:r>
        <w:rPr>
          <w:strike/>
        </w:rPr>
        <w:t xml:space="preserve">If the beneficiary previously made a payment under RCW 61.24.174, as it existed prior to July 1, 2016, for a notice of default supporting the recorded notice of trustee's sale, no payment is required under this section.</w:t>
      </w:r>
      <w:r>
        <w:t>))</w:t>
      </w:r>
      <w:r>
        <w:rPr/>
        <w:t xml:space="preserve"> </w:t>
      </w:r>
      <w:r>
        <w:rPr>
          <w:u w:val="single"/>
        </w:rPr>
        <w:t xml:space="preserve">Beginning on or before January 1, 2020, the department shall from time to time establish the amount of the fee, not to exceed three hundred twenty-five dollars, at a sufficient level to defray the costs of the program.</w:t>
      </w:r>
      <w:r>
        <w:rPr/>
        <w:t xml:space="preserve"> The beneficiary shall remit the total amount required in a lump sum each quarter.</w:t>
      </w:r>
    </w:p>
    <w:p>
      <w:pPr>
        <w:spacing w:before="0" w:after="0" w:line="408" w:lineRule="exact"/>
        <w:ind w:left="0" w:right="0" w:firstLine="576"/>
        <w:jc w:val="left"/>
      </w:pPr>
      <w:r>
        <w:rPr/>
        <w:t xml:space="preserve">(3) </w:t>
      </w:r>
      <w:r>
        <w:rPr>
          <w:u w:val="single"/>
        </w:rPr>
        <w:t xml:space="preserve">Any adjustment to the amount of the fee, pursuant to the authority of subsection (2) of this section, shall be made by rule adopted by the department in accordance with the provisions of chapter 34.05 RCW.</w:t>
      </w:r>
    </w:p>
    <w:p>
      <w:pPr>
        <w:spacing w:before="0" w:after="0" w:line="408" w:lineRule="exact"/>
        <w:ind w:left="0" w:right="0" w:firstLine="576"/>
        <w:jc w:val="left"/>
      </w:pPr>
      <w:r>
        <w:rPr>
          <w:u w:val="single"/>
        </w:rPr>
        <w:t xml:space="preserve">(4)</w:t>
      </w:r>
      <w:r>
        <w:rPr/>
        <w:t xml:space="preserve"> Reporting and payments under subsections (1) and (2) of this section are due within forty-five days of the end of each quarter.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to any beneficiary or loan servicer that is a federally insured depository institution, as defined in 12 U.S.C. Sec. 461(b)(1)(A), and that certifies under penalty of perjury that fewer than fifty notices of trustee's sale were recorded on its behalf in the preceding year.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does not apply to association beneficiaries subject to chapter 64.32, 64.34, or 64.38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"residential real property" includes residential real property with up to four dwelling units, whether or not the property or any part thereof is owner-occupied.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040</w:t>
      </w:r>
      <w:r>
        <w:rPr/>
        <w:t xml:space="preserve"> and 2012 c 185 s 10 are each amended to read as follows:</w:t>
      </w:r>
    </w:p>
    <w:p>
      <w:pPr>
        <w:spacing w:before="0" w:after="0" w:line="408" w:lineRule="exact"/>
        <w:ind w:left="0" w:right="0" w:firstLine="576"/>
        <w:jc w:val="left"/>
      </w:pPr>
      <w:r>
        <w:rPr/>
        <w:t xml:space="preserve">A deed of trust foreclosed under this chapter shall be foreclosed as follows:</w:t>
      </w:r>
    </w:p>
    <w:p>
      <w:pPr>
        <w:spacing w:before="0" w:after="0" w:line="408" w:lineRule="exact"/>
        <w:ind w:left="0" w:right="0" w:firstLine="576"/>
        <w:jc w:val="left"/>
      </w:pPr>
      <w:r>
        <w:rPr/>
        <w:t xml:space="preserve">(1) At least ninety days before the sale, or if a letter under RCW 61.24.031 is required, at least one hundred twenty days before the sale, the trustee shall:</w:t>
      </w:r>
    </w:p>
    <w:p>
      <w:pPr>
        <w:spacing w:before="0" w:after="0" w:line="408" w:lineRule="exact"/>
        <w:ind w:left="0" w:right="0" w:firstLine="576"/>
        <w:jc w:val="left"/>
      </w:pPr>
      <w:r>
        <w:rPr/>
        <w:t xml:space="preserve">(a) Record a notice in the form described in (f) of this subsection in the office of the auditor in each county in which the deed of trust is recorded;</w:t>
      </w:r>
    </w:p>
    <w:p>
      <w:pPr>
        <w:spacing w:before="0" w:after="0" w:line="408" w:lineRule="exact"/>
        <w:ind w:left="0" w:right="0" w:firstLine="576"/>
        <w:jc w:val="left"/>
      </w:pPr>
      <w:r>
        <w:rPr/>
        <w:t xml:space="preserve">(b)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(f) of this subsection to be transmitted by both first-class and either certified or registered mail, return receipt requested, to the following persons or their legal representatives, if any, at such address:</w:t>
      </w:r>
    </w:p>
    <w:p>
      <w:pPr>
        <w:spacing w:before="0" w:after="0" w:line="408" w:lineRule="exact"/>
        <w:ind w:left="0" w:right="0" w:firstLine="576"/>
        <w:jc w:val="left"/>
      </w:pPr>
      <w:r>
        <w:rPr/>
        <w:t xml:space="preserve">(i) The borrower and grantor;</w:t>
      </w:r>
    </w:p>
    <w:p>
      <w:pPr>
        <w:spacing w:before="0" w:after="0" w:line="408" w:lineRule="exact"/>
        <w:ind w:left="0" w:right="0" w:firstLine="576"/>
        <w:jc w:val="left"/>
      </w:pPr>
      <w:r>
        <w:rPr/>
        <w:t xml:space="preserve">(ii)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pPr>
        <w:spacing w:before="0" w:after="0" w:line="408" w:lineRule="exact"/>
        <w:ind w:left="0" w:right="0" w:firstLine="576"/>
        <w:jc w:val="left"/>
      </w:pPr>
      <w:r>
        <w:rPr/>
        <w:t xml:space="preserve">(iii)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pPr>
        <w:spacing w:before="0" w:after="0" w:line="408" w:lineRule="exact"/>
        <w:ind w:left="0" w:right="0" w:firstLine="576"/>
        <w:jc w:val="left"/>
      </w:pPr>
      <w:r>
        <w:rPr/>
        <w:t xml:space="preserve">(iv) The last holder of record of any other lien against or interest in the property that is subject to a subordination to the deed of trust being foreclosed that was recorded before the recordation of the notice of sale;</w:t>
      </w:r>
    </w:p>
    <w:p>
      <w:pPr>
        <w:spacing w:before="0" w:after="0" w:line="408" w:lineRule="exact"/>
        <w:ind w:left="0" w:right="0" w:firstLine="576"/>
        <w:jc w:val="left"/>
      </w:pPr>
      <w:r>
        <w:rPr/>
        <w:t xml:space="preserve">(v) The last holder of record of the lien of any judgment subordinate to the deed of trust being foreclosed; and</w:t>
      </w:r>
    </w:p>
    <w:p>
      <w:pPr>
        <w:spacing w:before="0" w:after="0" w:line="408" w:lineRule="exact"/>
        <w:ind w:left="0" w:right="0" w:firstLine="576"/>
        <w:jc w:val="left"/>
      </w:pPr>
      <w:r>
        <w:rPr/>
        <w:t xml:space="preserve">(vi)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pPr>
        <w:spacing w:before="0" w:after="0" w:line="408" w:lineRule="exact"/>
        <w:ind w:left="0" w:right="0" w:firstLine="576"/>
        <w:jc w:val="left"/>
      </w:pPr>
      <w:r>
        <w:rPr/>
        <w:t xml:space="preserve">(c) Cause a copy of the notice of sale described in (f) of this subsection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pPr>
        <w:spacing w:before="0" w:after="0" w:line="408" w:lineRule="exact"/>
        <w:ind w:left="0" w:right="0" w:firstLine="576"/>
        <w:jc w:val="left"/>
      </w:pPr>
      <w:r>
        <w:rPr/>
        <w:t xml:space="preserve">(d) Cause a copy of the notice of sale described in (f) of this subsection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pPr>
        <w:spacing w:before="0" w:after="0" w:line="408" w:lineRule="exact"/>
        <w:ind w:left="0" w:right="0" w:firstLine="576"/>
        <w:jc w:val="left"/>
      </w:pPr>
      <w:r>
        <w:rPr/>
        <w:t xml:space="preserve">(e) Cause a copy of the notice of sale described in (f) of this subsection to be posted in a conspicuous place on the property, or in lieu of posting, cause a copy of said notice to be served upon any occupant of the property;</w:t>
      </w:r>
    </w:p>
    <w:p>
      <w:pPr>
        <w:spacing w:before="0" w:after="0" w:line="408" w:lineRule="exact"/>
        <w:ind w:left="0" w:right="0" w:firstLine="576"/>
        <w:jc w:val="left"/>
      </w:pPr>
      <w:r>
        <w:rPr/>
        <w:t xml:space="preserve">(f)</w:t>
      </w:r>
      <w:r>
        <w:rPr>
          <w:u w:val="single"/>
        </w:rPr>
        <w:t xml:space="preserve">(i) The notice required in this subsection must include a cover sheet on which the name of the beneficiary is clearly indicated and whether the loan is commercial or noncommercial. In addition to any other indexing requirements, the auditor shall index the notice of trustee's sale by beneficiary name.</w:t>
      </w:r>
    </w:p>
    <w:p>
      <w:pPr>
        <w:spacing w:before="0" w:after="0" w:line="408" w:lineRule="exact"/>
        <w:ind w:left="0" w:right="0" w:firstLine="576"/>
        <w:jc w:val="left"/>
      </w:pPr>
      <w:r>
        <w:rPr>
          <w:u w:val="single"/>
        </w:rPr>
        <w:t xml:space="preserve">(ii)</w:t>
      </w:r>
      <w:r>
        <w:rPr/>
        <w:t xml:space="preserve"> The notice </w:t>
      </w:r>
      <w:r>
        <w:t>((</w:t>
      </w:r>
      <w:r>
        <w:rPr>
          <w:strike/>
        </w:rPr>
        <w:t xml:space="preserve">shall</w:t>
      </w:r>
      <w:r>
        <w:t>))</w:t>
      </w:r>
      <w:r>
        <w:rPr/>
        <w:t xml:space="preserve"> </w:t>
      </w:r>
      <w:r>
        <w:rPr>
          <w:u w:val="single"/>
        </w:rPr>
        <w:t xml:space="preserve">must</w:t>
      </w:r>
      <w:r>
        <w:rPr/>
        <w:t xml:space="preserve"> be in substantially the following form:</w:t>
      </w:r>
    </w:p>
    <w:p>
      <w:pPr>
        <w:spacing w:before="120" w:after="0" w:line="408" w:lineRule="exact"/>
        <w:ind w:left="0" w:right="0" w:firstLine="576"/>
        <w:jc w:val="center"/>
      </w:pPr>
      <w:r>
        <w:rPr/>
        <w:t xml:space="preserve">NOTICE OF TRUSTEE'S SALE</w:t>
      </w:r>
    </w:p>
    <w:p>
      <w:pPr>
        <w:spacing w:before="120" w:after="0" w:line="408" w:lineRule="exact"/>
        <w:ind w:left="0" w:right="0" w:firstLine="576"/>
        <w:jc w:val="center"/>
      </w:pPr>
      <w:r>
        <w:rPr/>
        <w:t xml:space="preserve">I.</w:t>
      </w:r>
    </w:p>
    <w:p>
      <w:pPr>
        <w:spacing w:before="120" w:after="0" w:line="408" w:lineRule="exact"/>
        <w:ind w:left="0" w:right="0" w:firstLine="0"/>
        <w:jc w:val="left"/>
      </w:pPr>
      <w:r>
        <w:rPr/>
        <w:t xml:space="preserve">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pPr>
        <w:spacing w:before="120" w:after="0" w:line="408" w:lineRule="exact"/>
        <w:ind w:left="576" w:right="576" w:firstLine="0"/>
        <w:jc w:val="left"/>
      </w:pPr>
      <w:r>
        <w:rPr/>
        <w:t xml:space="preserve">[If any personal property is to be included in the trustee's sale, include a description that reasonably identifies such personal property]</w:t>
      </w:r>
    </w:p>
    <w:p>
      <w:pPr>
        <w:spacing w:before="120" w:after="0" w:line="408" w:lineRule="exact"/>
        <w:ind w:left="0" w:right="0" w:firstLine="0"/>
        <w:jc w:val="left"/>
      </w:pPr>
      <w:r>
        <w:rPr/>
        <w:t xml:space="preserve">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pPr>
        <w:spacing w:before="120" w:after="0" w:line="408" w:lineRule="exact"/>
        <w:ind w:left="0" w:right="0" w:firstLine="576"/>
        <w:jc w:val="center"/>
      </w:pPr>
      <w:r>
        <w:rPr/>
        <w:t xml:space="preserve">II.</w:t>
      </w:r>
    </w:p>
    <w:p>
      <w:pPr>
        <w:spacing w:before="120" w:after="0" w:line="408" w:lineRule="exact"/>
        <w:ind w:left="0" w:right="0" w:firstLine="0"/>
        <w:jc w:val="left"/>
      </w:pPr>
      <w:r>
        <w:rPr/>
        <w:t xml:space="preserve">No action commenced by the Beneficiary of the Deed of Trust is now pending to seek satisfaction of the obligation in any Court by reason of the Borrower's or Grantor's default on the obligation secured by the Deed of Trust.</w:t>
      </w:r>
    </w:p>
    <w:p>
      <w:pPr>
        <w:spacing w:before="120" w:after="0" w:line="408" w:lineRule="exact"/>
        <w:ind w:left="576" w:right="576" w:firstLine="0"/>
        <w:jc w:val="left"/>
      </w:pPr>
      <w:r>
        <w:rPr/>
        <w:t xml:space="preserve">[If there is another action pending to foreclose other security for all or part of the same debt, qualify the statement and identify the action.]</w:t>
      </w:r>
    </w:p>
    <w:p>
      <w:pPr>
        <w:spacing w:before="120" w:after="0" w:line="408" w:lineRule="exact"/>
        <w:ind w:left="0" w:right="0" w:firstLine="576"/>
        <w:jc w:val="center"/>
      </w:pPr>
      <w:r>
        <w:rPr/>
        <w:t xml:space="preserve">III.</w:t>
      </w:r>
    </w:p>
    <w:p>
      <w:pPr>
        <w:spacing w:before="120" w:after="0" w:line="408" w:lineRule="exact"/>
        <w:ind w:left="0" w:right="0" w:firstLine="0"/>
        <w:jc w:val="left"/>
      </w:pPr>
      <w:r>
        <w:rPr/>
        <w:t xml:space="preserve">The default(s) for which this foreclosure is made is/are as follows:</w:t>
      </w:r>
    </w:p>
    <w:p>
      <w:pPr>
        <w:spacing w:before="120" w:after="0" w:line="408" w:lineRule="exact"/>
        <w:ind w:left="576" w:right="576" w:firstLine="0"/>
        <w:jc w:val="left"/>
      </w:pPr>
      <w:r>
        <w:rPr/>
        <w:t xml:space="preserve">[If default is for other than payment of money, set forth the particulars]</w:t>
      </w:r>
    </w:p>
    <w:p>
      <w:pPr>
        <w:spacing w:before="120" w:after="0" w:line="408" w:lineRule="exact"/>
        <w:ind w:left="0" w:right="0" w:firstLine="0"/>
        <w:jc w:val="left"/>
      </w:pPr>
      <w:r>
        <w:rPr/>
        <w:t xml:space="preserve">Failure to pay when due the following amounts which are now in arrears:</w:t>
      </w:r>
    </w:p>
    <w:p>
      <w:pPr>
        <w:spacing w:before="120" w:after="0" w:line="408" w:lineRule="exact"/>
        <w:ind w:left="0" w:right="0" w:firstLine="576"/>
        <w:jc w:val="center"/>
      </w:pPr>
      <w:r>
        <w:rPr/>
        <w:t xml:space="preserve">IV.</w:t>
      </w:r>
    </w:p>
    <w:p>
      <w:pPr>
        <w:spacing w:before="120" w:after="0" w:line="408" w:lineRule="exact"/>
        <w:ind w:left="0" w:right="0" w:firstLine="0"/>
        <w:jc w:val="left"/>
      </w:pPr>
      <w:r>
        <w:rPr/>
        <w:t xml:space="preserve">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pPr>
        <w:spacing w:before="120" w:after="0" w:line="408" w:lineRule="exact"/>
        <w:ind w:left="0" w:right="0" w:firstLine="576"/>
        <w:jc w:val="center"/>
      </w:pPr>
      <w:r>
        <w:rPr/>
        <w:t xml:space="preserve">V.</w:t>
      </w:r>
    </w:p>
    <w:p>
      <w:pPr>
        <w:spacing w:before="120" w:after="0" w:line="408" w:lineRule="exact"/>
        <w:ind w:left="0" w:right="0" w:firstLine="0"/>
        <w:jc w:val="left"/>
      </w:pPr>
      <w:r>
        <w:rPr/>
        <w:t xml:space="preserve">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pPr>
        <w:spacing w:before="120" w:after="0" w:line="408" w:lineRule="exact"/>
        <w:ind w:left="0" w:right="0" w:firstLine="576"/>
        <w:jc w:val="center"/>
      </w:pPr>
      <w:r>
        <w:rPr/>
        <w:t xml:space="preserve">VI.</w:t>
      </w:r>
    </w:p>
    <w:p>
      <w:pPr>
        <w:spacing w:before="120" w:after="0" w:line="408" w:lineRule="exact"/>
        <w:ind w:left="0" w:right="0" w:firstLine="0"/>
        <w:jc w:val="left"/>
      </w:pPr>
      <w:r>
        <w:rPr/>
        <w:t xml:space="preserve">A written notice of default was transmitted by the Beneficiary or Trustee to the Borrower and Grantor at the following addresses: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bl>
    <w:p>
      <w:pPr>
        <w:spacing w:before="120" w:after="0" w:line="408" w:lineRule="exact"/>
        <w:ind w:left="0" w:right="0" w:firstLine="0"/>
        <w:jc w:val="left"/>
      </w:pPr>
      <w:r>
        <w:rPr/>
        <w:t xml:space="preserve">by both first-class and certified mail on the . . . . day of . . . . . ., . . ., proof of which is in the possession of the Trustee; and the Borrower and Grantor were personally served on the . . . . day of . . . . . ., . . ., with said written notice of default or the written notice of default was posted in a conspicuous place on the real property described in paragraph I above, and the Trustee has possession of proof of such service or posting.</w:t>
      </w:r>
    </w:p>
    <w:p>
      <w:pPr>
        <w:spacing w:before="120" w:after="0" w:line="408" w:lineRule="exact"/>
        <w:ind w:left="0" w:right="0" w:firstLine="576"/>
        <w:jc w:val="center"/>
      </w:pPr>
      <w:r>
        <w:rPr/>
        <w:t xml:space="preserve">VII.</w:t>
      </w:r>
    </w:p>
    <w:p>
      <w:pPr>
        <w:spacing w:before="120" w:after="0" w:line="408" w:lineRule="exact"/>
        <w:ind w:left="0" w:right="0" w:firstLine="0"/>
        <w:jc w:val="left"/>
      </w:pPr>
      <w:r>
        <w:rPr/>
        <w:t xml:space="preserve">The Trustee whose name and address are set forth below will provide in writing to anyone requesting it, a statement of all costs and fees due at any time prior to the sale.</w:t>
      </w:r>
    </w:p>
    <w:p>
      <w:pPr>
        <w:spacing w:before="120" w:after="0" w:line="408" w:lineRule="exact"/>
        <w:ind w:left="0" w:right="0" w:firstLine="576"/>
        <w:jc w:val="center"/>
      </w:pPr>
      <w:r>
        <w:rPr/>
        <w:t xml:space="preserve">VIII.</w:t>
      </w:r>
    </w:p>
    <w:p>
      <w:pPr>
        <w:spacing w:before="120" w:after="0" w:line="408" w:lineRule="exact"/>
        <w:ind w:left="0" w:right="0" w:firstLine="0"/>
        <w:jc w:val="left"/>
      </w:pPr>
      <w:r>
        <w:rPr/>
        <w:t xml:space="preserve">The effect of the sale will be to deprive the Grantor and all those who hold by, through or under the Grantor of all their interest in the above-described property.</w:t>
      </w:r>
    </w:p>
    <w:p>
      <w:pPr>
        <w:spacing w:before="120" w:after="0" w:line="408" w:lineRule="exact"/>
        <w:ind w:left="0" w:right="0" w:firstLine="576"/>
        <w:jc w:val="center"/>
      </w:pPr>
      <w:r>
        <w:rPr/>
        <w:t xml:space="preserve">IX.</w:t>
      </w:r>
    </w:p>
    <w:p>
      <w:pPr>
        <w:spacing w:before="120" w:after="0" w:line="408" w:lineRule="exact"/>
        <w:ind w:left="0" w:right="0" w:firstLine="0"/>
        <w:jc w:val="left"/>
      </w:pPr>
      <w:r>
        <w:rPr/>
        <w:t xml:space="preserve">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pPr>
        <w:spacing w:before="120" w:after="0" w:line="408" w:lineRule="exact"/>
        <w:ind w:left="0" w:right="0" w:firstLine="0"/>
        <w:jc w:val="left"/>
      </w:pPr>
      <w:r>
        <w:rPr/>
        <w:t xml:space="preserve">[Add Part X to this notice if applicable under RCW 61.24.040(9)]</w:t>
      </w:r>
    </w:p>
    <w:tbl>
      <w:tblPr>
        <w:tblW w:w="0" w:type="auto"/>
        <w:jc w:val="center"/>
        <w:tcMar>
          <w:tblCellMar>
            <w:top w:w="0" w:type="dxa"/>
            <w:bottom w:w="0" w:type="dxa"/>
          </w:tblCellMar>
        </w:tcMar>
        <w:tcMar>
          <w:tblCellMar>
            <w:left w:w="70" w:type="dxa"/>
            <w:right w:w="70" w:type="dxa"/>
          </w:tblCellMar>
        </w:tcMar>
      </w:tblPr>
      <w:tblGrid>
        <w:gridCol w:w="1200"/>
        <w:gridCol w:w="760"/>
        <w:gridCol w:w="980"/>
        <w:gridCol w:w="440"/>
        <w:gridCol w:w="1480"/>
      </w:tblGrid>
      <w:tr>
        <w:tc>
          <w:tcPr>
            <w:tcW w:w="1200" w:type="dxa"/>
            <w:vAlign w:val="top"/>
          </w:tcPr>
          <w:p>
            <w:pPr>
              <w:spacing w:before="0" w:after="0" w:line="408" w:lineRule="exact"/>
              <w:ind w:left="0" w:right="0" w:firstLine="0"/>
              <w:jc w:val="left"/>
            </w:pPr>
          </w:p>
        </w:tc>
        <w:tc>
          <w:tcPr>
            <w:gridSpan w:val="4"/>
            <w:tcW w:w="3660" w:type="dxa"/>
            <w:vAlign w:val="top"/>
          </w:tcPr>
          <w:p>
            <w:pPr>
              <w:tabs>
                <w:tab w:val="right" w:leader="dot" w:pos="3648"/>
              </w:tabs>
              <w:spacing w:before="0" w:after="0" w:line="408" w:lineRule="exact"/>
              <w:ind w:left="0" w:right="0" w:firstLine="0"/>
              <w:jc w:val="left"/>
            </w:pPr>
            <w:r>
              <w:tab/>
            </w:r>
          </w:p>
        </w:tc>
      </w:tr>
      <w:tr>
        <w:tc>
          <w:tcPr>
            <w:gridSpan w:val="2"/>
            <w:tcW w:w="1960" w:type="dxa"/>
            <w:vAlign w:val="top"/>
          </w:tcPr>
          <w:p>
            <w:pPr>
              <w:spacing w:before="0" w:after="0" w:line="408" w:lineRule="exact"/>
              <w:ind w:left="0" w:right="0" w:firstLine="0"/>
              <w:jc w:val="left"/>
            </w:pPr>
          </w:p>
        </w:tc>
        <w:tc>
          <w:tcPr>
            <w:gridSpan w:val="2"/>
            <w:tcW w:w="1420" w:type="dxa"/>
            <w:vAlign w:val="top"/>
          </w:tcPr>
          <w:p>
            <w:pPr>
              <w:tabs>
                <w:tab w:val="right" w:leader="dot" w:pos="1408"/>
              </w:tabs>
              <w:spacing w:before="0" w:after="0" w:line="408" w:lineRule="exact"/>
              <w:ind w:left="0" w:right="0" w:firstLine="0"/>
              <w:jc w:val="left"/>
            </w:pPr>
            <w:r>
              <w:tab/>
            </w:r>
            <w:r>
              <w:rPr>
                <w:rFonts w:ascii="Times New Roman" w:hAnsi="Times New Roman"/>
                <w:sz w:val="20"/>
              </w:rPr>
              <w:t xml:space="preserve"> ,</w:t>
            </w:r>
          </w:p>
        </w:tc>
        <w:tc>
          <w:tcPr>
            <w:tcW w:w="1480" w:type="dxa"/>
            <w:vAlign w:val="top"/>
          </w:tcPr>
          <w:p>
            <w:pPr>
              <w:spacing w:before="0" w:after="120" w:line="408" w:lineRule="exact"/>
              <w:ind w:left="0" w:right="0" w:firstLine="0"/>
              <w:jc w:val="left"/>
            </w:pPr>
            <w:r>
              <w:rPr>
                <w:rFonts w:ascii="Times New Roman" w:hAnsi="Times New Roman"/>
                <w:sz w:val="20"/>
              </w:rPr>
              <w:t xml:space="preserve">Trustee</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8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Times New Roman" w:hAnsi="Times New Roman"/>
                <w:sz w:val="20"/>
              </w:rPr>
              <w:t xml:space="preserve">}</w:t>
            </w:r>
          </w:p>
        </w:tc>
        <w:tc>
          <w:tcPr>
            <w:tcW w:w="1480" w:type="dxa"/>
            <w:vAlign w:val="top"/>
          </w:tcPr>
          <w:p>
            <w:pPr>
              <w:spacing w:before="0" w:after="0" w:line="408" w:lineRule="exact"/>
              <w:ind w:left="0" w:right="0" w:firstLine="0"/>
              <w:jc w:val="left"/>
            </w:pPr>
            <w:r>
              <w:rPr>
                <w:rFonts w:ascii="Times New Roman" w:hAnsi="Times New Roman"/>
                <w:sz w:val="20"/>
              </w:rPr>
              <w:t xml:space="preserve">Phone</w:t>
            </w:r>
          </w:p>
        </w:tc>
      </w:tr>
    </w:tbl>
    <w:p>
      <w:pPr>
        <w:spacing w:before="120" w:after="0" w:line="408" w:lineRule="exact"/>
        <w:ind w:left="0" w:right="0" w:firstLine="0"/>
        <w:jc w:val="left"/>
      </w:pPr>
      <w:r>
        <w:rPr/>
        <w:t xml:space="preserve">[Acknowledgment]</w:t>
      </w:r>
    </w:p>
    <w:p>
      <w:pPr>
        <w:spacing w:before="120" w:after="0" w:line="408" w:lineRule="exact"/>
        <w:ind w:left="0" w:right="0" w:firstLine="576"/>
        <w:jc w:val="left"/>
      </w:pPr>
      <w:r>
        <w:rPr/>
        <w:t xml:space="preserve">(g) If the borrower received a letter under RCW 61.24.031, the notice specified in </w:t>
      </w:r>
      <w:r>
        <w:rPr>
          <w:u w:val="single"/>
        </w:rPr>
        <w:t xml:space="preserve">(f) of this</w:t>
      </w:r>
      <w:r>
        <w:rPr/>
        <w:t xml:space="preserve"> subsection </w:t>
      </w:r>
      <w:r>
        <w:t>((</w:t>
      </w:r>
      <w:r>
        <w:rPr>
          <w:strike/>
        </w:rPr>
        <w:t xml:space="preserve">(1)(f) of this section</w:t>
      </w:r>
      <w:r>
        <w:t>))</w:t>
      </w:r>
      <w:r>
        <w:rPr/>
        <w:t xml:space="preserve"> shall also include the following additional language:</w:t>
      </w:r>
    </w:p>
    <w:p>
      <w:pPr>
        <w:spacing w:before="120" w:after="0" w:line="408" w:lineRule="exact"/>
        <w:ind w:left="0" w:right="0" w:firstLine="576"/>
        <w:jc w:val="center"/>
      </w:pPr>
      <w:r>
        <w:rPr>
          <w:b/>
        </w:rPr>
        <w:t xml:space="preserve">"THIS NOTICE IS THE FINAL STEP BEFORE THE FORECLOSURE SALE OF YOUR HOME.</w:t>
      </w:r>
    </w:p>
    <w:p>
      <w:pPr>
        <w:spacing w:before="120" w:after="0" w:line="408" w:lineRule="exact"/>
        <w:ind w:left="0" w:right="0" w:firstLine="0"/>
        <w:jc w:val="left"/>
      </w:pPr>
      <w:r>
        <w:rPr/>
        <w:t xml:space="preserve">You have only 20 DAYS from the recording date on this notice to pursue mediation.</w:t>
      </w:r>
    </w:p>
    <w:p>
      <w:pPr>
        <w:spacing w:before="120" w:after="0" w:line="408" w:lineRule="exact"/>
        <w:ind w:left="0" w:right="0" w:firstLine="0"/>
        <w:jc w:val="left"/>
      </w:pPr>
      <w:r>
        <w:rPr>
          <w:b/>
        </w:rPr>
        <w:t xml:space="preserve">DO NOT DELAY. CONTACT A HOUSING COUNSELOR OR AN ATTORNEY LICENSED IN WASHINGTON NOW</w:t>
      </w:r>
      <w:r>
        <w:rPr/>
        <w:t xml:space="preserve"> to assess your situation and refer you to mediation if you are eligible and it may help you save your home. See below for safe sources of help.</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  Web site:  .  .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w:t>
      </w:r>
    </w:p>
    <w:p>
      <w:pPr>
        <w:spacing w:before="0" w:after="0" w:line="408" w:lineRule="exact"/>
        <w:ind w:left="0" w:right="0" w:firstLine="576"/>
        <w:jc w:val="left"/>
      </w:pPr>
      <w:r>
        <w:rPr/>
        <w:t xml:space="preserve">(2) In addition to providing the borrower and grantor the notice of sale described in subsection (1)(f) of this section, the trustee shall include with the copy of the notice which is mailed to the grantor, a statement to the grantor in substantially the following form:</w:t>
      </w:r>
    </w:p>
    <w:p>
      <w:pPr>
        <w:spacing w:before="120" w:after="0" w:line="408" w:lineRule="exact"/>
        <w:ind w:left="0" w:right="0" w:firstLine="576"/>
        <w:jc w:val="center"/>
      </w:pPr>
      <w:r>
        <w:rPr/>
        <w:t xml:space="preserve">NOTICE OF FORECLOSURE</w:t>
      </w:r>
    </w:p>
    <w:p>
      <w:pPr>
        <w:spacing w:before="0" w:after="0" w:line="408" w:lineRule="exact"/>
        <w:ind w:left="0" w:right="0" w:firstLine="576"/>
        <w:jc w:val="center"/>
      </w:pPr>
      <w:r>
        <w:rPr/>
        <w:t xml:space="preserve">Pursuant to the Revised Code of Washington,</w:t>
      </w:r>
    </w:p>
    <w:p>
      <w:pPr>
        <w:spacing w:before="0" w:after="0" w:line="408" w:lineRule="exact"/>
        <w:ind w:left="0" w:right="0" w:firstLine="576"/>
        <w:jc w:val="center"/>
      </w:pPr>
      <w:r>
        <w:rPr/>
        <w:t xml:space="preserve">Chapter 61.24 RCW</w:t>
      </w:r>
    </w:p>
    <w:p>
      <w:pPr>
        <w:spacing w:before="120" w:after="0" w:line="408" w:lineRule="exact"/>
        <w:ind w:left="0" w:right="0" w:firstLine="576"/>
        <w:jc w:val="left"/>
      </w:pPr>
      <w:r>
        <w:rPr/>
        <w:t xml:space="preserve">The attached Notice of Trustee's Sale is a consequence of default(s) in the obligation to . . . . . ., the Beneficiary of your Deed of Trust and owner of the obligation secured thereby. Unless the default(s) is/are cured, your property will be sold at auction on the . . . . day of . . . . . ., . . .</w:t>
      </w:r>
    </w:p>
    <w:p>
      <w:pPr>
        <w:spacing w:before="0" w:after="0" w:line="408" w:lineRule="exact"/>
        <w:ind w:left="0" w:right="0" w:firstLine="576"/>
        <w:jc w:val="left"/>
      </w:pPr>
      <w:r>
        <w:rPr/>
        <w:t xml:space="preserve">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tbl>
      <w:tblPr>
        <w:tblW w:w="0" w:type="auto"/>
        <w:jc w:val="center"/>
        <w:tcMar>
          <w:tblCellMar>
            <w:top w:w="0" w:type="dxa"/>
            <w:bottom w:w="0" w:type="dxa"/>
          </w:tblCellMar>
        </w:tcMar>
        <w:tcMar>
          <w:tblCellMar>
            <w:left w:w="70" w:type="dxa"/>
            <w:right w:w="70" w:type="dxa"/>
          </w:tblCellMar>
        </w:tcMar>
      </w:tblPr>
      <w:tblGrid>
        <w:gridCol w:w="1640"/>
        <w:gridCol w:w="1440"/>
        <w:gridCol w:w="620"/>
        <w:gridCol w:w="1160"/>
      </w:tblGrid>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Estimated amount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Currently due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that will be due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to reinstate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to reinstate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on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on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 .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(11 days before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the date set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for sale)</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Delinquent payments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from . . . . . .,</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in the</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./mo.:</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Late charges in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the total</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Estimated</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Amounts</w:t>
            </w:r>
          </w:p>
        </w:tc>
      </w:tr>
      <w:tr>
        <w:tc>
          <w:tcPr>
            <w:tcW w:w="1640" w:type="dxa"/>
            <w:vAlign w:val="top"/>
          </w:tcPr>
          <w:p>
            <w:pPr>
              <w:spacing w:before="0" w:after="0" w:line="408" w:lineRule="exact"/>
              <w:ind w:left="0" w:right="0" w:firstLine="0"/>
              <w:jc w:val="left"/>
            </w:pPr>
            <w:r>
              <w:rPr>
                <w:rFonts w:ascii="Times New Roman" w:hAnsi="Times New Roman"/>
                <w:sz w:val="20"/>
              </w:rPr>
              <w:t xml:space="preserve">Attorneys'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Trustee's fee:</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Trustee's expenses: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120" w:line="408" w:lineRule="exact"/>
              <w:ind w:left="0" w:right="0" w:firstLine="0"/>
              <w:jc w:val="left"/>
            </w:pPr>
            <w:r>
              <w:rPr>
                <w:rFonts w:ascii="Times New Roman" w:hAnsi="Times New Roman"/>
                <w:sz w:val="20"/>
              </w:rPr>
              <w:t xml:space="preserve">(Itemization)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Title report</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Recording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Service/Posting</w:t>
            </w:r>
          </w:p>
          <w:p>
            <w:pPr>
              <w:spacing w:before="0" w:after="0" w:line="408" w:lineRule="exact"/>
              <w:ind w:left="0" w:right="0" w:firstLine="0"/>
              <w:jc w:val="left"/>
            </w:pPr>
            <w:r>
              <w:rPr>
                <w:rFonts w:ascii="Times New Roman" w:hAnsi="Times New Roman"/>
                <w:sz w:val="20"/>
              </w:rPr>
              <w:t xml:space="preserve">of Notices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Postage/Copying</w:t>
            </w:r>
          </w:p>
          <w:p>
            <w:pPr>
              <w:spacing w:before="0" w:after="0" w:line="408" w:lineRule="exact"/>
              <w:ind w:left="0" w:right="0" w:firstLine="0"/>
              <w:jc w:val="left"/>
            </w:pPr>
            <w:r>
              <w:rPr>
                <w:rFonts w:ascii="Times New Roman" w:hAnsi="Times New Roman"/>
                <w:sz w:val="20"/>
              </w:rPr>
              <w:t xml:space="preserve">expense</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Publication</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Telephone</w:t>
            </w:r>
          </w:p>
          <w:p>
            <w:pPr>
              <w:spacing w:before="0" w:after="0" w:line="408" w:lineRule="exact"/>
              <w:ind w:left="0" w:right="0" w:firstLine="0"/>
              <w:jc w:val="left"/>
            </w:pPr>
            <w:r>
              <w:rPr>
                <w:rFonts w:ascii="Times New Roman" w:hAnsi="Times New Roman"/>
                <w:sz w:val="20"/>
              </w:rPr>
              <w:t xml:space="preserve">charges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Inspection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TOTALS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bl>
    <w:p>
      <w:pPr>
        <w:spacing w:before="120" w:after="0" w:line="408" w:lineRule="exact"/>
        <w:ind w:left="0" w:right="0" w:firstLine="576"/>
        <w:jc w:val="left"/>
      </w:pPr>
      <w:r>
        <w:rPr/>
        <w:t xml:space="preserve">To pay off the entire obligation secured by your Deed of Trust as of the . . . . . day of . . . . . . you must pay a total of $. . . . . in principal, $. . . . . in interest, plus other costs and advances estimated to date in the amount of $. . . . . .  From and after the date of this notice you must submit a written request to the Trustee to obtain the total amount to pay off the entire obligation secured by your Deed of Trust as of the payoff date.</w:t>
      </w:r>
    </w:p>
    <w:p>
      <w:pPr>
        <w:spacing w:before="0" w:after="0" w:line="408" w:lineRule="exact"/>
        <w:ind w:left="0" w:right="0" w:firstLine="576"/>
        <w:jc w:val="left"/>
      </w:pPr>
      <w:r>
        <w:rPr/>
        <w:t xml:space="preserve">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tbl>
      <w:tblPr>
        <w:tblW w:w="0" w:type="auto"/>
        <w:jc w:val="center"/>
        <w:tcMar>
          <w:tblCellMar>
            <w:top w:w="0" w:type="dxa"/>
            <w:bottom w:w="0" w:type="dxa"/>
          </w:tblCellMar>
        </w:tcMar>
        <w:tcMar>
          <w:tblCellMar>
            <w:left w:w="70" w:type="dxa"/>
            <w:right w:w="70" w:type="dxa"/>
          </w:tblCellMar>
        </w:tcMar>
      </w:tblPr>
      <w:tblGrid>
        <w:gridCol w:w="980"/>
        <w:gridCol w:w="420"/>
        <w:gridCol w:w="3460"/>
      </w:tblGrid>
      <w:tr>
        <w:tc>
          <w:tcPr>
            <w:tcW w:w="980" w:type="dxa"/>
            <w:vAlign w:val="top"/>
          </w:tcPr>
          <w:p>
            <w:pPr>
              <w:spacing w:before="0" w:after="0" w:line="408" w:lineRule="exact"/>
              <w:ind w:left="0" w:right="0" w:firstLine="0"/>
              <w:jc w:val="center"/>
            </w:pPr>
            <w:r>
              <w:rPr>
                <w:rFonts w:ascii="Times New Roman" w:hAnsi="Times New Roman"/>
                <w:sz w:val="20"/>
              </w:rPr>
              <w:t xml:space="preserve">Default</w:t>
            </w: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Description of Action Required to Cure and</w:t>
            </w:r>
          </w:p>
        </w:tc>
      </w:tr>
      <w:tr>
        <w:tc>
          <w:tcPr>
            <w:tcW w:w="980" w:type="dxa"/>
            <w:vAlign w:val="top"/>
          </w:tcPr>
          <w:p>
            <w:pPr>
              <w:spacing w:before="0" w:after="0" w:line="408" w:lineRule="exact"/>
              <w:ind w:left="0" w:right="0" w:firstLine="0"/>
              <w:jc w:val="left"/>
            </w:pP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Documentation Necessary to Show Cure</w:t>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bl>
    <w:p>
      <w:pPr>
        <w:spacing w:before="120" w:after="0" w:line="408" w:lineRule="exact"/>
        <w:ind w:left="0" w:right="0" w:firstLine="576"/>
        <w:jc w:val="left"/>
      </w:pPr>
      <w:r>
        <w:rPr/>
        <w:t xml:space="preserve">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ten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pPr>
        <w:spacing w:before="0" w:after="0" w:line="408" w:lineRule="exact"/>
        <w:ind w:left="0" w:right="0" w:firstLine="576"/>
        <w:jc w:val="left"/>
      </w:pPr>
      <w:r>
        <w:rPr/>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You may contact the Department of Financial Institutions or the statewide civil legal aid hotline for possible assistance or referrals.</w:t>
      </w:r>
    </w:p>
    <w:p>
      <w:pPr>
        <w:spacing w:before="0" w:after="0" w:line="408" w:lineRule="exact"/>
        <w:ind w:left="0" w:right="0" w:firstLine="576"/>
        <w:jc w:val="left"/>
      </w:pPr>
      <w:r>
        <w:rPr/>
        <w:t xml:space="preserve">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tbl>
      <w:tblPr>
        <w:tblW w:w="0" w:type="auto"/>
        <w:jc w:val="center"/>
        <w:tcMar>
          <w:tblCellMar>
            <w:top w:w="0" w:type="dxa"/>
            <w:bottom w:w="0" w:type="dxa"/>
          </w:tblCellMar>
        </w:tcMar>
        <w:tcMar>
          <w:tblCellMar>
            <w:left w:w="70" w:type="dxa"/>
            <w:right w:w="70" w:type="dxa"/>
          </w:tblCellMar>
        </w:tcMar>
      </w:tblPr>
      <w:tblGrid>
        <w:gridCol w:w="440"/>
        <w:gridCol w:w="920"/>
        <w:gridCol w:w="620"/>
        <w:gridCol w:w="900"/>
        <w:gridCol w:w="1980"/>
      </w:tblGrid>
      <w:tr>
        <w:tc>
          <w:tcPr>
            <w:tcW w:w="440" w:type="dxa"/>
            <w:vAlign w:val="top"/>
          </w:tcPr>
          <w:p>
            <w:pPr>
              <w:spacing w:before="0" w:after="0" w:line="408" w:lineRule="exact"/>
              <w:ind w:left="0" w:right="0" w:firstLine="0"/>
              <w:jc w:val="left"/>
            </w:pPr>
          </w:p>
        </w:tc>
        <w:tc>
          <w:tcPr>
            <w:tcW w:w="920" w:type="dxa"/>
            <w:vAlign w:val="top"/>
          </w:tcPr>
          <w:p>
            <w:pPr>
              <w:spacing w:before="0" w:after="0" w:line="408" w:lineRule="exact"/>
              <w:ind w:left="0" w:right="0" w:firstLine="0"/>
              <w:jc w:val="left"/>
            </w:pPr>
            <w:r>
              <w:rPr>
                <w:rFonts w:ascii="Times New Roman" w:hAnsi="Times New Roman"/>
                <w:sz w:val="20"/>
              </w:rPr>
              <w:t xml:space="preserve">NAME:</w:t>
            </w:r>
          </w:p>
        </w:tc>
        <w:tc>
          <w:tcPr>
            <w:gridSpan w:val="3"/>
            <w:tcW w:w="3500" w:type="dxa"/>
            <w:vAlign w:val="top"/>
          </w:tcPr>
          <w:p>
            <w:pPr>
              <w:tabs>
                <w:tab w:val="right" w:leader="dot" w:pos="348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3"/>
            <w:tcW w:w="244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1980" w:type="dxa"/>
            <w:vAlign w:val="top"/>
          </w:tcPr>
          <w:p>
            <w:pPr>
              <w:tabs>
                <w:tab w:val="right" w:leader="dot" w:pos="1968"/>
              </w:tabs>
              <w:spacing w:before="0" w:after="0" w:line="408" w:lineRule="exact"/>
              <w:ind w:left="0" w:right="0" w:firstLine="0"/>
              <w:jc w:val="left"/>
            </w:pPr>
            <w:r>
              <w:tab/>
            </w:r>
          </w:p>
        </w:tc>
      </w:tr>
    </w:tbl>
    <w:p>
      <w:pPr>
        <w:spacing w:before="120" w:after="0" w:line="408" w:lineRule="exact"/>
        <w:ind w:left="0" w:right="0" w:firstLine="576"/>
        <w:jc w:val="left"/>
      </w:pPr>
      <w:r>
        <w:rPr/>
        <w:t xml:space="preserve">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pPr>
        <w:spacing w:before="0" w:after="0" w:line="408" w:lineRule="exact"/>
        <w:ind w:left="0" w:right="0" w:firstLine="576"/>
        <w:jc w:val="left"/>
      </w:pPr>
      <w:r>
        <w:rPr/>
        <w:t xml:space="preserve">(3) In addition, the trustee shall cause a copy of the notice of sale described in subsection (1)(f) of this section (excluding the acknowledgment) to be published in a legal newspaper in each county in which the property or any part thereof is situated, once on or between the thirty-fifth and twenty-eighth day before the date of sale, and once on or between the fourteenth and seventh day before the date of sale;</w:t>
      </w:r>
    </w:p>
    <w:p>
      <w:pPr>
        <w:spacing w:before="0" w:after="0" w:line="408" w:lineRule="exact"/>
        <w:ind w:left="0" w:right="0" w:firstLine="576"/>
        <w:jc w:val="left"/>
      </w:pPr>
      <w:r>
        <w:rPr/>
        <w:t xml:space="preserve">(4) On the date and at the time designated in the notice of sale, the trustee or its authorized agent shall sell the property at public auction to the highest bidder. The trustee may sell the property in gross or in parcels as the trustee shall deem most advantageous;</w:t>
      </w:r>
    </w:p>
    <w:p>
      <w:pPr>
        <w:spacing w:before="0" w:after="0" w:line="408" w:lineRule="exact"/>
        <w:ind w:left="0" w:right="0" w:firstLine="576"/>
        <w:jc w:val="left"/>
      </w:pPr>
      <w:r>
        <w:rPr/>
        <w:t xml:space="preserve">(5) The place of sale shall be at any designated public place within the county where the property is located and if the property is in more than one county, the sale may be in any of the counties where the property is located. The sale shall be on Friday, or if Friday is a legal holiday on the following Monday, and during the hours set by statute for the conduct of sales of real estate at execution;</w:t>
      </w:r>
    </w:p>
    <w:p>
      <w:pPr>
        <w:spacing w:before="0" w:after="0" w:line="408" w:lineRule="exact"/>
        <w:ind w:left="0" w:right="0" w:firstLine="576"/>
        <w:jc w:val="left"/>
      </w:pPr>
      <w:r>
        <w:rPr/>
        <w:t xml:space="preserve">(6) The trustee has no obligation to, but may, for any cause the trustee deems advantageous, continue the sale for a period or periods not exceeding a total of one hundred twenty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subsection (1)(b)(i) and (ii) of this section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subsection (1)(b), (c), (d), and (e) of this section and publishing a copy of such notice once in the newspaper(s) described in subsection (3) of this section, more than seven days before the date fixed for sale in the notice of sale. No other notice of the postponed sale need be given;</w:t>
      </w:r>
    </w:p>
    <w:p>
      <w:pPr>
        <w:spacing w:before="0" w:after="0" w:line="408" w:lineRule="exact"/>
        <w:ind w:left="0" w:right="0" w:firstLine="576"/>
        <w:jc w:val="left"/>
      </w:pPr>
      <w:r>
        <w:rPr/>
        <w:t xml:space="preserve">(7) The purchaser shall forthwith pay the price bid and on payment the trustee shall execute to the purchaser its deed; the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subsection (1) of this section,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pPr>
        <w:spacing w:before="0" w:after="0" w:line="408" w:lineRule="exact"/>
        <w:ind w:left="0" w:right="0" w:firstLine="576"/>
        <w:jc w:val="left"/>
      </w:pPr>
      <w:r>
        <w:rPr/>
        <w:t xml:space="preserve">(8) The sale as authorized under this chapter shall not take place less than one hundred ninety days from the date of default in any of the obligations secured;</w:t>
      </w:r>
    </w:p>
    <w:p>
      <w:pPr>
        <w:spacing w:before="0" w:after="0" w:line="408" w:lineRule="exact"/>
        <w:ind w:left="0" w:right="0" w:firstLine="576"/>
        <w:jc w:val="left"/>
      </w:pPr>
      <w:r>
        <w:rPr/>
        <w:t xml:space="preserve">(9)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pPr>
        <w:spacing w:before="120" w:after="0" w:line="408" w:lineRule="exact"/>
        <w:ind w:left="0" w:right="0" w:firstLine="576"/>
        <w:jc w:val="center"/>
      </w:pPr>
      <w:r>
        <w:rPr/>
        <w:t xml:space="preserve">X. NOTICE TO OCCUPANTS OR TENANTS</w:t>
      </w:r>
    </w:p>
    <w:p>
      <w:pPr>
        <w:spacing w:before="120" w:after="0" w:line="408" w:lineRule="exact"/>
        <w:ind w:left="0" w:right="0" w:firstLine="0"/>
        <w:jc w:val="left"/>
      </w:pPr>
      <w:r>
        <w:rPr/>
        <w:t xml:space="preserve">The purchaser at the trustee's sale is entitled to possession of the property on the 20th day following the sale, as against the grantor under the deed of trust (the owner) and anyone having an interest junior to the deed of trust, including occupants who are not tenants. After the 20th day following the sale the purchaser has the right to evict occupants who are not tenants by summary proceedings under chapter 59.12 RCW. For tenant-occupied property, the purchaser shall provide a tenant with written notice in accordance with RCW 61.24.060;</w:t>
      </w:r>
    </w:p>
    <w:p>
      <w:pPr>
        <w:spacing w:before="0" w:after="0" w:line="408" w:lineRule="exact"/>
        <w:ind w:left="0" w:right="0" w:firstLine="576"/>
        <w:jc w:val="left"/>
      </w:pPr>
      <w:r>
        <w:rPr/>
        <w:t xml:space="preserve">(10) Only one copy of all notices required by this chapter need be given to a person who is both the borrower and the grantor. All notices required by this chapter that are given to a general partnership are deemed given to each of its general partners, unless otherwise agreed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163</w:t>
      </w:r>
      <w:r>
        <w:rPr/>
        <w:t xml:space="preserve"> and 2014 c 164 s 3 are each amended to read as follows:</w:t>
      </w:r>
    </w:p>
    <w:p>
      <w:pPr>
        <w:spacing w:before="0" w:after="0" w:line="408" w:lineRule="exact"/>
        <w:ind w:left="0" w:right="0" w:firstLine="576"/>
        <w:jc w:val="left"/>
      </w:pPr>
      <w:r>
        <w:rPr/>
        <w:t xml:space="preserve">(1) The foreclosure mediation program established in this section applies only to borrowers who have been referred to mediation by a housing counselor or attorney. The referral to mediation may be made any time after a notice of default has been issued but no later than twenty days after the date a notice of sale has been recorded. If the borrower has failed to elect to mediate within the applicable time frame, the borrower and the beneficiary may, but are under no duty to, agree in writing to enter the foreclosure mediation program. The mediation program under this section is not governed by chapter 7.07 RCW and does not preclude mediation required by a court or other provision of law.</w:t>
      </w:r>
    </w:p>
    <w:p>
      <w:pPr>
        <w:spacing w:before="0" w:after="0" w:line="408" w:lineRule="exact"/>
        <w:ind w:left="0" w:right="0" w:firstLine="576"/>
        <w:jc w:val="left"/>
      </w:pPr>
      <w:r>
        <w:rPr/>
        <w:t xml:space="preserve">(2) A housing counselor or attorney referring a borrower to mediation shall send a notice to the borrower and the department, stating that mediation is appropriate.</w:t>
      </w:r>
    </w:p>
    <w:p>
      <w:pPr>
        <w:spacing w:before="0" w:after="0" w:line="408" w:lineRule="exact"/>
        <w:ind w:left="0" w:right="0" w:firstLine="576"/>
        <w:jc w:val="left"/>
      </w:pPr>
      <w:r>
        <w:rPr/>
        <w:t xml:space="preserve">(3) Within ten days of receiving the notice, the department shall:</w:t>
      </w:r>
    </w:p>
    <w:p>
      <w:pPr>
        <w:spacing w:before="0" w:after="0" w:line="408" w:lineRule="exact"/>
        <w:ind w:left="0" w:right="0" w:firstLine="576"/>
        <w:jc w:val="left"/>
      </w:pPr>
      <w:r>
        <w:rPr/>
        <w:t xml:space="preserve">(a) Send a notice to the beneficiary, the borrower, the housing counselor or attorney who referred the borrower, and the trustee stating that the parties have been referred to mediation. The notice must include the statements and list of documents and information described in subsections (4) and (5) of this section and a statement explaining each party's responsibility to pay the mediator's fee; and</w:t>
      </w:r>
    </w:p>
    <w:p>
      <w:pPr>
        <w:spacing w:before="0" w:after="0" w:line="408" w:lineRule="exact"/>
        <w:ind w:left="0" w:right="0" w:firstLine="576"/>
        <w:jc w:val="left"/>
      </w:pPr>
      <w:r>
        <w:rPr/>
        <w:t xml:space="preserve">(b) Select a mediator and notify the parties of the selection.</w:t>
      </w:r>
    </w:p>
    <w:p>
      <w:pPr>
        <w:spacing w:before="0" w:after="0" w:line="408" w:lineRule="exact"/>
        <w:ind w:left="0" w:right="0" w:firstLine="576"/>
        <w:jc w:val="left"/>
      </w:pPr>
      <w:r>
        <w:rPr/>
        <w:t xml:space="preserve">(4) Within twenty</w:t>
      </w:r>
      <w:r>
        <w:rPr/>
        <w:noBreakHyphen/>
      </w:r>
      <w:r>
        <w:rPr/>
        <w:t xml:space="preserve">three days of the department's notice that the parties have been referred to mediation, the borrower shall transmit the documents required for mediation to the mediator and the beneficiary. The required documents include an initial </w:t>
      </w:r>
      <w:r>
        <w:t>((</w:t>
      </w:r>
      <w:r>
        <w:rPr>
          <w:strike/>
        </w:rPr>
        <w:t xml:space="preserve">Making Home Affordable Application (HAMP) package or such other equivalent</w:t>
      </w:r>
      <w:r>
        <w:t>))</w:t>
      </w:r>
      <w:r>
        <w:rPr/>
        <w:t xml:space="preserve"> homeowner financial information worksheet as required by the department. </w:t>
      </w:r>
      <w:r>
        <w:t>((</w:t>
      </w:r>
      <w:r>
        <w:rPr>
          <w:strike/>
        </w:rPr>
        <w:t xml:space="preserve">In the event the department is required to create a worksheet,</w:t>
      </w:r>
      <w:r>
        <w:t>))</w:t>
      </w:r>
      <w:r>
        <w:rPr/>
        <w:t xml:space="preserve"> </w:t>
      </w:r>
      <w:r>
        <w:rPr>
          <w:u w:val="single"/>
        </w:rPr>
        <w:t xml:space="preserve">T</w:t>
      </w:r>
      <w:r>
        <w:rPr/>
        <w:t xml:space="preserve">he worksheet must include, at a minimum, the following information:</w:t>
      </w:r>
    </w:p>
    <w:p>
      <w:pPr>
        <w:spacing w:before="0" w:after="0" w:line="408" w:lineRule="exact"/>
        <w:ind w:left="0" w:right="0" w:firstLine="576"/>
        <w:jc w:val="left"/>
      </w:pPr>
      <w:r>
        <w:rPr/>
        <w:t xml:space="preserve">(a) The borrower's current and future income;</w:t>
      </w:r>
    </w:p>
    <w:p>
      <w:pPr>
        <w:spacing w:before="0" w:after="0" w:line="408" w:lineRule="exact"/>
        <w:ind w:left="0" w:right="0" w:firstLine="576"/>
        <w:jc w:val="left"/>
      </w:pPr>
      <w:r>
        <w:rPr/>
        <w:t xml:space="preserve">(b) Debts and obligations;</w:t>
      </w:r>
    </w:p>
    <w:p>
      <w:pPr>
        <w:spacing w:before="0" w:after="0" w:line="408" w:lineRule="exact"/>
        <w:ind w:left="0" w:right="0" w:firstLine="576"/>
        <w:jc w:val="left"/>
      </w:pPr>
      <w:r>
        <w:rPr/>
        <w:t xml:space="preserve">(c) Assets;</w:t>
      </w:r>
    </w:p>
    <w:p>
      <w:pPr>
        <w:spacing w:before="0" w:after="0" w:line="408" w:lineRule="exact"/>
        <w:ind w:left="0" w:right="0" w:firstLine="576"/>
        <w:jc w:val="left"/>
      </w:pPr>
      <w:r>
        <w:rPr/>
        <w:t xml:space="preserve">(d) Expenses;</w:t>
      </w:r>
    </w:p>
    <w:p>
      <w:pPr>
        <w:spacing w:before="0" w:after="0" w:line="408" w:lineRule="exact"/>
        <w:ind w:left="0" w:right="0" w:firstLine="576"/>
        <w:jc w:val="left"/>
      </w:pPr>
      <w:r>
        <w:rPr/>
        <w:t xml:space="preserve">(e) Tax returns for the previous two years;</w:t>
      </w:r>
    </w:p>
    <w:p>
      <w:pPr>
        <w:spacing w:before="0" w:after="0" w:line="408" w:lineRule="exact"/>
        <w:ind w:left="0" w:right="0" w:firstLine="576"/>
        <w:jc w:val="left"/>
      </w:pPr>
      <w:r>
        <w:rPr/>
        <w:t xml:space="preserve">(f) Hardship information;</w:t>
      </w:r>
    </w:p>
    <w:p>
      <w:pPr>
        <w:spacing w:before="0" w:after="0" w:line="408" w:lineRule="exact"/>
        <w:ind w:left="0" w:right="0" w:firstLine="576"/>
        <w:jc w:val="left"/>
      </w:pPr>
      <w:r>
        <w:rPr/>
        <w:t xml:space="preserve">(g) Other applicable information commonly required by any applicable federal mortgage relief program.</w:t>
      </w:r>
    </w:p>
    <w:p>
      <w:pPr>
        <w:spacing w:before="0" w:after="0" w:line="408" w:lineRule="exact"/>
        <w:ind w:left="0" w:right="0" w:firstLine="576"/>
        <w:jc w:val="left"/>
      </w:pPr>
      <w:r>
        <w:rPr/>
        <w:t xml:space="preserve">(5) Within twenty days of the beneficiary's receipt of the borrower's documents, the beneficiary shall transmit the documents required for mediation to the mediator and the borrower. The required documents include:</w:t>
      </w:r>
    </w:p>
    <w:p>
      <w:pPr>
        <w:spacing w:before="0" w:after="0" w:line="408" w:lineRule="exact"/>
        <w:ind w:left="0" w:right="0" w:firstLine="576"/>
        <w:jc w:val="left"/>
      </w:pPr>
      <w:r>
        <w:rPr/>
        <w:t xml:space="preserve">(a) An accurate statement containing the balance of the loan within thirty days of the date on which the beneficiary's documents are due to the parties;</w:t>
      </w:r>
    </w:p>
    <w:p>
      <w:pPr>
        <w:spacing w:before="0" w:after="0" w:line="408" w:lineRule="exact"/>
        <w:ind w:left="0" w:right="0" w:firstLine="576"/>
        <w:jc w:val="left"/>
      </w:pPr>
      <w:r>
        <w:rPr/>
        <w:t xml:space="preserve">(b) Copies of the note and deed of trust;</w:t>
      </w:r>
    </w:p>
    <w:p>
      <w:pPr>
        <w:spacing w:before="0" w:after="0" w:line="408" w:lineRule="exact"/>
        <w:ind w:left="0" w:right="0" w:firstLine="576"/>
        <w:jc w:val="left"/>
      </w:pPr>
      <w:r>
        <w:rPr/>
        <w:t xml:space="preserve">(c) Proof that the entity claiming to be the beneficiary is the owner of any promissory note or obligation secured by the deed of trust. Sufficient proof may be a copy of the declaration described in RCW 61.24.030(7)(a);</w:t>
      </w:r>
    </w:p>
    <w:p>
      <w:pPr>
        <w:spacing w:before="0" w:after="0" w:line="408" w:lineRule="exact"/>
        <w:ind w:left="0" w:right="0" w:firstLine="576"/>
        <w:jc w:val="left"/>
      </w:pPr>
      <w:r>
        <w:rPr/>
        <w:t xml:space="preserve">(d) The best estimate of any arrearage and an itemized statement of the arrearages;</w:t>
      </w:r>
    </w:p>
    <w:p>
      <w:pPr>
        <w:spacing w:before="0" w:after="0" w:line="408" w:lineRule="exact"/>
        <w:ind w:left="0" w:right="0" w:firstLine="576"/>
        <w:jc w:val="left"/>
      </w:pPr>
      <w:r>
        <w:rPr/>
        <w:t xml:space="preserve">(e) An itemized list of the best estimate of fees and charges outstanding;</w:t>
      </w:r>
    </w:p>
    <w:p>
      <w:pPr>
        <w:spacing w:before="0" w:after="0" w:line="408" w:lineRule="exact"/>
        <w:ind w:left="0" w:right="0" w:firstLine="576"/>
        <w:jc w:val="left"/>
      </w:pPr>
      <w:r>
        <w:rPr/>
        <w:t xml:space="preserve">(f) The payment history and schedule for the preceding twelve months, or since default, whichever is longer, including a breakdown of all fees and charges claimed;</w:t>
      </w:r>
    </w:p>
    <w:p>
      <w:pPr>
        <w:spacing w:before="0" w:after="0" w:line="408" w:lineRule="exact"/>
        <w:ind w:left="0" w:right="0" w:firstLine="576"/>
        <w:jc w:val="left"/>
      </w:pPr>
      <w:r>
        <w:rPr/>
        <w:t xml:space="preserve">(g) All borrower</w:t>
      </w:r>
      <w:r>
        <w:rPr/>
        <w:noBreakHyphen/>
      </w:r>
      <w:r>
        <w:rPr/>
        <w:t xml:space="preserve">related and mortgage</w:t>
      </w:r>
      <w:r>
        <w:rPr/>
        <w:noBreakHyphen/>
      </w:r>
      <w:r>
        <w:rPr/>
        <w:t xml:space="preserve">related input data used in any net present values analysis. If no net present values analysis is required by the applicable federal mortgage relief program, then the input data required under the federal deposit insurance corporation and published in the federal deposit insurance corporation loan modification program guide, or if that calculation becomes unavailable, substantially similar input data as determined by the department;</w:t>
      </w:r>
    </w:p>
    <w:p>
      <w:pPr>
        <w:spacing w:before="0" w:after="0" w:line="408" w:lineRule="exact"/>
        <w:ind w:left="0" w:right="0" w:firstLine="576"/>
        <w:jc w:val="left"/>
      </w:pPr>
      <w:r>
        <w:rPr/>
        <w:t xml:space="preserve">(h) An explanation regarding any denial for a loan modification, forbearance, or other alternative to foreclosure in sufficient detail for a reasonable person to understand why the decision was made;</w:t>
      </w:r>
    </w:p>
    <w:p>
      <w:pPr>
        <w:spacing w:before="0" w:after="0" w:line="408" w:lineRule="exact"/>
        <w:ind w:left="0" w:right="0" w:firstLine="576"/>
        <w:jc w:val="left"/>
      </w:pPr>
      <w:r>
        <w:rPr/>
        <w:t xml:space="preserve">(i) Appraisal or other broker price opinion most recently relied upon by the beneficiary not more than ninety days old at the time of the scheduled mediation; and</w:t>
      </w:r>
    </w:p>
    <w:p>
      <w:pPr>
        <w:spacing w:before="0" w:after="0" w:line="408" w:lineRule="exact"/>
        <w:ind w:left="0" w:right="0" w:firstLine="576"/>
        <w:jc w:val="left"/>
      </w:pPr>
      <w:r>
        <w:rPr/>
        <w:t xml:space="preserve">(j) The portion or excerpt of the pooling and servicing agreement or other investor restriction that prohibits the beneficiary from implementing a modification, if the beneficiary claims it cannot implement a modification due to limitations in a pooling and servicing agreement or other investor restriction, and documentation or a statement detailing the efforts of the beneficiary to obtain a waiver of the pooling and servicing agreement or other investor restriction provisions.</w:t>
      </w:r>
    </w:p>
    <w:p>
      <w:pPr>
        <w:spacing w:before="0" w:after="0" w:line="408" w:lineRule="exact"/>
        <w:ind w:left="0" w:right="0" w:firstLine="576"/>
        <w:jc w:val="left"/>
      </w:pPr>
      <w:r>
        <w:rPr/>
        <w:t xml:space="preserve">(6) Within seventy days of receiving the referral from the department, the mediator shall convene a mediation session in the county where the property is located, unless the parties agree on another location. The parties may agree to extend the time in which to schedule the mediation session. If the parties agree to extend the time, the beneficiary shall notify the trustee of the extension and the date the mediator is expected to issue the mediator's certification.</w:t>
      </w:r>
    </w:p>
    <w:p>
      <w:pPr>
        <w:spacing w:before="0" w:after="0" w:line="408" w:lineRule="exact"/>
        <w:ind w:left="0" w:right="0" w:firstLine="576"/>
        <w:jc w:val="left"/>
      </w:pPr>
      <w:r>
        <w:rPr/>
        <w:t xml:space="preserve">(7)(a) The mediator may schedule phone conferences, consultations with the parties individually, and other communications to ensure that the parties have all the necessary information and documents to engage in a productive mediation.</w:t>
      </w:r>
    </w:p>
    <w:p>
      <w:pPr>
        <w:spacing w:before="0" w:after="0" w:line="408" w:lineRule="exact"/>
        <w:ind w:left="0" w:right="0" w:firstLine="576"/>
        <w:jc w:val="left"/>
      </w:pPr>
      <w:r>
        <w:rPr/>
        <w:t xml:space="preserve">(b) The mediator must send written notice of the time, date, and location of the mediation session to the borrower, the beneficiary, and the department at least thirty days prior to the mediation session. At a minimum, the notice must contain:</w:t>
      </w:r>
    </w:p>
    <w:p>
      <w:pPr>
        <w:spacing w:before="0" w:after="0" w:line="408" w:lineRule="exact"/>
        <w:ind w:left="0" w:right="0" w:firstLine="576"/>
        <w:jc w:val="left"/>
      </w:pPr>
      <w:r>
        <w:rPr/>
        <w:t xml:space="preserve">(i) A statement that the borrower may be represented in the mediation session by an attorney or other advocate;</w:t>
      </w:r>
    </w:p>
    <w:p>
      <w:pPr>
        <w:spacing w:before="0" w:after="0" w:line="408" w:lineRule="exact"/>
        <w:ind w:left="0" w:right="0" w:firstLine="576"/>
        <w:jc w:val="left"/>
      </w:pPr>
      <w:r>
        <w:rPr/>
        <w:t xml:space="preserve">(ii) A statement that a person with authority to agree to a resolution, including a proposed settlement, loan modification, or dismissal or continuation of the foreclosure proceeding, must be present either in person or on the telephone or videoconference during the mediation session; and</w:t>
      </w:r>
    </w:p>
    <w:p>
      <w:pPr>
        <w:spacing w:before="0" w:after="0" w:line="408" w:lineRule="exact"/>
        <w:ind w:left="0" w:right="0" w:firstLine="576"/>
        <w:jc w:val="left"/>
      </w:pPr>
      <w:r>
        <w:rPr/>
        <w:t xml:space="preserve">(iii) A statement that the parties have a duty to mediate in good faith and that failure to mediate in good faith may impair the beneficiary's ability to foreclose on the property or the borrower's ability to modify the loan or take advantage of other alternatives to foreclosure.</w:t>
      </w:r>
    </w:p>
    <w:p>
      <w:pPr>
        <w:spacing w:before="0" w:after="0" w:line="408" w:lineRule="exact"/>
        <w:ind w:left="0" w:right="0" w:firstLine="576"/>
        <w:jc w:val="left"/>
      </w:pPr>
      <w:r>
        <w:rPr/>
        <w:t xml:space="preserve">(8)(a) The borrower, the beneficiary or authorized agent, and the mediator must meet in person for the mediation session. However, a person with authority to agree to a resolution on behalf of the beneficiary may be present over the telephone or videoconference during the mediation session.</w:t>
      </w:r>
    </w:p>
    <w:p>
      <w:pPr>
        <w:spacing w:before="0" w:after="0" w:line="408" w:lineRule="exact"/>
        <w:ind w:left="0" w:right="0" w:firstLine="576"/>
        <w:jc w:val="left"/>
      </w:pPr>
      <w:r>
        <w:rPr/>
        <w:t xml:space="preserve">(b) After the mediation session commences, the mediator may continue the mediation session once, and any further continuances must be with the consent of the parties.</w:t>
      </w:r>
    </w:p>
    <w:p>
      <w:pPr>
        <w:spacing w:before="0" w:after="0" w:line="408" w:lineRule="exact"/>
        <w:ind w:left="0" w:right="0" w:firstLine="576"/>
        <w:jc w:val="left"/>
      </w:pPr>
      <w:r>
        <w:rPr/>
        <w:t xml:space="preserve">(9) The participants in mediation must address the issues of foreclosure that may enable the borrower and the beneficiary to reach a resolution, including but not limited to reinstatement, modification of the loan, restructuring of the debt, or some other workout plan. To assist the parties in addressing issues of foreclosure, the mediator may require the participants to consider the following:</w:t>
      </w:r>
    </w:p>
    <w:p>
      <w:pPr>
        <w:spacing w:before="0" w:after="0" w:line="408" w:lineRule="exact"/>
        <w:ind w:left="0" w:right="0" w:firstLine="576"/>
        <w:jc w:val="left"/>
      </w:pPr>
      <w:r>
        <w:rPr/>
        <w:t xml:space="preserve">(a) The borrower's current and future economic circumstances, including the borrower's current and future income, debts, and obligations for the previous sixty days or greater time period as determined by the mediator;</w:t>
      </w:r>
    </w:p>
    <w:p>
      <w:pPr>
        <w:spacing w:before="0" w:after="0" w:line="408" w:lineRule="exact"/>
        <w:ind w:left="0" w:right="0" w:firstLine="576"/>
        <w:jc w:val="left"/>
      </w:pPr>
      <w:r>
        <w:rPr/>
        <w:t xml:space="preserve">(b) The net present value of receiving payments pursuant to a modified mortgage loan as compared to the anticipated net recovery following foreclosure;</w:t>
      </w:r>
    </w:p>
    <w:p>
      <w:pPr>
        <w:spacing w:before="0" w:after="0" w:line="408" w:lineRule="exact"/>
        <w:ind w:left="0" w:right="0" w:firstLine="576"/>
        <w:jc w:val="left"/>
      </w:pPr>
      <w:r>
        <w:rPr/>
        <w:t xml:space="preserve">(c) Any affordable loan modification calculation and net present value calculation when required under any federal mortgage relief program</w:t>
      </w:r>
      <w:r>
        <w:t>((</w:t>
      </w:r>
      <w:r>
        <w:rPr>
          <w:strike/>
        </w:rPr>
        <w:t xml:space="preserve">, including the home affordable modification program (HAMP) as applicable to government-sponsored enterprise and nongovernment-sponsored enterprise loans</w:t>
      </w:r>
      <w:r>
        <w:t>))</w:t>
      </w:r>
      <w:r>
        <w:rPr/>
        <w:t xml:space="preserve"> and any </w:t>
      </w:r>
      <w:r>
        <w:t>((</w:t>
      </w:r>
      <w:r>
        <w:rPr>
          <w:strike/>
        </w:rPr>
        <w:t xml:space="preserve">HAMP-related</w:t>
      </w:r>
      <w:r>
        <w:t>))</w:t>
      </w:r>
      <w:r>
        <w:rPr/>
        <w:t xml:space="preserve"> modification program </w:t>
      </w:r>
      <w:r>
        <w:t>((</w:t>
      </w:r>
      <w:r>
        <w:rPr>
          <w:strike/>
        </w:rPr>
        <w:t xml:space="preserve">applicable</w:t>
      </w:r>
      <w:r>
        <w:t>))</w:t>
      </w:r>
      <w:r>
        <w:rPr/>
        <w:t xml:space="preserve"> </w:t>
      </w:r>
      <w:r>
        <w:rPr>
          <w:u w:val="single"/>
        </w:rPr>
        <w:t xml:space="preserve">related</w:t>
      </w:r>
      <w:r>
        <w:rPr/>
        <w:t xml:space="preserve"> to loans insured by the federal housing administration, the veterans administration, and the rural housing service. If such a calculation is not provided or required, then the beneficiary must provide the net present value data inputs established by the federal deposit insurance corporation and published in the federal deposit insurance corporation loan modification program guide or other net present value data inputs as designated by the department. The mediator may run the calculation in order for a productive mediation to occur and to comply with the mediator certification requirement; and</w:t>
      </w:r>
    </w:p>
    <w:p>
      <w:pPr>
        <w:spacing w:before="0" w:after="0" w:line="408" w:lineRule="exact"/>
        <w:ind w:left="0" w:right="0" w:firstLine="576"/>
        <w:jc w:val="left"/>
      </w:pPr>
      <w:r>
        <w:rPr/>
        <w:t xml:space="preserve">(d) Any other loss mitigation guidelines to loans insured by the federal housing administration, the veterans administration, and the rural housing service, if applicable.</w:t>
      </w:r>
    </w:p>
    <w:p>
      <w:pPr>
        <w:spacing w:before="0" w:after="0" w:line="408" w:lineRule="exact"/>
        <w:ind w:left="0" w:right="0" w:firstLine="576"/>
        <w:jc w:val="left"/>
      </w:pPr>
      <w:r>
        <w:rPr/>
        <w:t xml:space="preserve">(10) A violation of the duty to mediate in good faith as required under this section may include:</w:t>
      </w:r>
    </w:p>
    <w:p>
      <w:pPr>
        <w:spacing w:before="0" w:after="0" w:line="408" w:lineRule="exact"/>
        <w:ind w:left="0" w:right="0" w:firstLine="576"/>
        <w:jc w:val="left"/>
      </w:pPr>
      <w:r>
        <w:rPr/>
        <w:t xml:space="preserve">(a) Failure to timely participate in mediation without good cause;</w:t>
      </w:r>
    </w:p>
    <w:p>
      <w:pPr>
        <w:spacing w:before="0" w:after="0" w:line="408" w:lineRule="exact"/>
        <w:ind w:left="0" w:right="0" w:firstLine="576"/>
        <w:jc w:val="left"/>
      </w:pPr>
      <w:r>
        <w:rPr/>
        <w:t xml:space="preserve">(b) Failure of the borrower or the beneficiary to provide the documentation required before mediation or pursuant to the mediator's instructions;</w:t>
      </w:r>
    </w:p>
    <w:p>
      <w:pPr>
        <w:spacing w:before="0" w:after="0" w:line="408" w:lineRule="exact"/>
        <w:ind w:left="0" w:right="0" w:firstLine="576"/>
        <w:jc w:val="left"/>
      </w:pPr>
      <w:r>
        <w:rPr/>
        <w:t xml:space="preserve">(c) Failure of a party to designate representatives with adequate authority to fully settle, compromise, or otherwise reach resolution with the borrower in mediation; and</w:t>
      </w:r>
    </w:p>
    <w:p>
      <w:pPr>
        <w:spacing w:before="0" w:after="0" w:line="408" w:lineRule="exact"/>
        <w:ind w:left="0" w:right="0" w:firstLine="576"/>
        <w:jc w:val="left"/>
      </w:pPr>
      <w:r>
        <w:rPr/>
        <w:t xml:space="preserve">(d) A request by a beneficiary that the borrower waive future claims he or she may have in connection with the deed of trust, as a condition of agreeing to a modification, except for rescission claims under the federal truth in lending act. Nothing in this section precludes a beneficiary from requesting that a borrower dismiss with prejudice any pending claims against the beneficiary, its agents, loan servicer, or trustee, arising from the underlying deed of trust, as a condition of modification.</w:t>
      </w:r>
    </w:p>
    <w:p>
      <w:pPr>
        <w:spacing w:before="0" w:after="0" w:line="408" w:lineRule="exact"/>
        <w:ind w:left="0" w:right="0" w:firstLine="576"/>
        <w:jc w:val="left"/>
      </w:pPr>
      <w:r>
        <w:rPr/>
        <w:t xml:space="preserve">(11) If the mediator reasonably believes a borrower will not attend a mediation session based on the borrower's conduct, such as the lack of response to the mediator's communications, the mediator may cancel a scheduled mediation session and send a written cancellation to the department and the trustee and send copies to the parties. The beneficiary may proceed with the foreclosure after receipt of the mediator's written confirmation of cancellation.</w:t>
      </w:r>
    </w:p>
    <w:p>
      <w:pPr>
        <w:spacing w:before="0" w:after="0" w:line="408" w:lineRule="exact"/>
        <w:ind w:left="0" w:right="0" w:firstLine="576"/>
        <w:jc w:val="left"/>
      </w:pPr>
      <w:r>
        <w:rPr/>
        <w:t xml:space="preserve">(12) Within seven business days after the conclusion of the mediation session, the mediator must send a written certification to the department and the trustee and send copies to the parties of:</w:t>
      </w:r>
    </w:p>
    <w:p>
      <w:pPr>
        <w:spacing w:before="0" w:after="0" w:line="408" w:lineRule="exact"/>
        <w:ind w:left="0" w:right="0" w:firstLine="576"/>
        <w:jc w:val="left"/>
      </w:pPr>
      <w:r>
        <w:rPr/>
        <w:t xml:space="preserve">(a) The date, time, and location of the mediation session;</w:t>
      </w:r>
    </w:p>
    <w:p>
      <w:pPr>
        <w:spacing w:before="0" w:after="0" w:line="408" w:lineRule="exact"/>
        <w:ind w:left="0" w:right="0" w:firstLine="576"/>
        <w:jc w:val="left"/>
      </w:pPr>
      <w:r>
        <w:rPr/>
        <w:t xml:space="preserve">(b) The names of all persons attending in person and by telephone or videoconference, at the mediation session;</w:t>
      </w:r>
    </w:p>
    <w:p>
      <w:pPr>
        <w:spacing w:before="0" w:after="0" w:line="408" w:lineRule="exact"/>
        <w:ind w:left="0" w:right="0" w:firstLine="576"/>
        <w:jc w:val="left"/>
      </w:pPr>
      <w:r>
        <w:rPr/>
        <w:t xml:space="preserve">(c) Whether a resolution was reached by the parties, including whether the default was cured by reinstatement, modification, or restructuring of the debt, or some other alternative to foreclosure was agreed upon by the parties;</w:t>
      </w:r>
    </w:p>
    <w:p>
      <w:pPr>
        <w:spacing w:before="0" w:after="0" w:line="408" w:lineRule="exact"/>
        <w:ind w:left="0" w:right="0" w:firstLine="576"/>
        <w:jc w:val="left"/>
      </w:pPr>
      <w:r>
        <w:rPr/>
        <w:t xml:space="preserve">(d) Whether the parties participated in the mediation in good faith; and</w:t>
      </w:r>
    </w:p>
    <w:p>
      <w:pPr>
        <w:spacing w:before="0" w:after="0" w:line="408" w:lineRule="exact"/>
        <w:ind w:left="0" w:right="0" w:firstLine="576"/>
        <w:jc w:val="left"/>
      </w:pPr>
      <w:r>
        <w:rPr/>
        <w:t xml:space="preserve">(e) If a written agreement was not reached, a description of any net present value test used, along with a copy of the inputs, including the result of any net present value test expressed in a dollar amount.</w:t>
      </w:r>
    </w:p>
    <w:p>
      <w:pPr>
        <w:spacing w:before="0" w:after="0" w:line="408" w:lineRule="exact"/>
        <w:ind w:left="0" w:right="0" w:firstLine="576"/>
        <w:jc w:val="left"/>
      </w:pPr>
      <w:r>
        <w:rPr/>
        <w:t xml:space="preserve">(13) If the parties are unable to reach an agreement, the beneficiary may proceed with the foreclosure after receipt of the mediator's written certification.</w:t>
      </w:r>
    </w:p>
    <w:p>
      <w:pPr>
        <w:spacing w:before="0" w:after="0" w:line="408" w:lineRule="exact"/>
        <w:ind w:left="0" w:right="0" w:firstLine="576"/>
        <w:jc w:val="left"/>
      </w:pPr>
      <w:r>
        <w:rPr/>
        <w:t xml:space="preserve">(14)(a) The mediator's certification that the beneficiary failed to act in good faith in mediation constitutes a defense to the nonjudicial foreclosure action that was the basis for initiating the mediation. In any action to enjoin the foreclosure, the beneficiary is entitled to rebut the allegation that it failed to act in good faith.</w:t>
      </w:r>
    </w:p>
    <w:p>
      <w:pPr>
        <w:spacing w:before="0" w:after="0" w:line="408" w:lineRule="exact"/>
        <w:ind w:left="0" w:right="0" w:firstLine="576"/>
        <w:jc w:val="left"/>
      </w:pPr>
      <w:r>
        <w:rPr/>
        <w:t xml:space="preserve">(b) The mediator's certification that the beneficiary failed to act in good faith during mediation does not constitute a defense to a judicial foreclosure or a future nonjudicial foreclosure action if a modification of the loan is agreed upon and the borrower subsequently defaults.</w:t>
      </w:r>
    </w:p>
    <w:p>
      <w:pPr>
        <w:spacing w:before="0" w:after="0" w:line="408" w:lineRule="exact"/>
        <w:ind w:left="0" w:right="0" w:firstLine="576"/>
        <w:jc w:val="left"/>
      </w:pPr>
      <w:r>
        <w:rPr/>
        <w:t xml:space="preserve">(c) If an affordable loan modification is not offered in the mediation or a written agreement was not reached and the mediator's certification shows that the net present value of the modified loan exceeds the anticipated net recovery at foreclosure, that showing in the certification constitutes a basis for the borrower to enjoin the foreclosure.</w:t>
      </w:r>
    </w:p>
    <w:p>
      <w:pPr>
        <w:spacing w:before="0" w:after="0" w:line="408" w:lineRule="exact"/>
        <w:ind w:left="0" w:right="0" w:firstLine="576"/>
        <w:jc w:val="left"/>
      </w:pPr>
      <w:r>
        <w:rPr/>
        <w:t xml:space="preserve">(15) The mediator's certification that the borrower failed to act in good faith in mediation authorizes the beneficiary to proceed with the foreclosure.</w:t>
      </w:r>
    </w:p>
    <w:p>
      <w:pPr>
        <w:spacing w:before="0" w:after="0" w:line="408" w:lineRule="exact"/>
        <w:ind w:left="0" w:right="0" w:firstLine="576"/>
        <w:jc w:val="left"/>
      </w:pPr>
      <w:r>
        <w:rPr/>
        <w:t xml:space="preserve">(16)(a) If a borrower has been referred to mediation before a notice of trustee sale has been recorded, a trustee may not record the notice of sale until the trustee receives the mediator's certification stating that the mediation has been completed. If the trustee does not receive the mediator's certification, the trustee may record the notice of sale after ten days from the date the certification to the trustee was due. If, after a notice of sale is recorded under this subsection (16)(a), the mediator subsequently issues a certification finding that the beneficiary violated the duty of good faith, the certification constitutes a basis for the borrower to enjoin the foreclosure.</w:t>
      </w:r>
    </w:p>
    <w:p>
      <w:pPr>
        <w:spacing w:before="0" w:after="0" w:line="408" w:lineRule="exact"/>
        <w:ind w:left="0" w:right="0" w:firstLine="576"/>
        <w:jc w:val="left"/>
      </w:pPr>
      <w:r>
        <w:rPr/>
        <w:t xml:space="preserve">(b) If a borrower has been referred to mediation after the notice of sale was recorded, the sale may not occur until the trustee receives the mediator's certification stating that the mediation has been completed.</w:t>
      </w:r>
    </w:p>
    <w:p>
      <w:pPr>
        <w:spacing w:before="0" w:after="0" w:line="408" w:lineRule="exact"/>
        <w:ind w:left="0" w:right="0" w:firstLine="576"/>
        <w:jc w:val="left"/>
      </w:pPr>
      <w:r>
        <w:rPr/>
        <w:t xml:space="preserve">(17) A mediator may charge reasonable fees as authorized by this subsection or as authorized by the department. Unless the fee is waived, the parties agree otherwise, or the department otherwise authorizes, a foreclosure mediator's fee may not exceed four hundred dollars for preparing, scheduling, and conducting a mediation session lasting between one hour and three hours. For a mediation session exceeding three hours, the foreclosure mediator may charge a reasonable fee, as authorized by the department. The mediator must provide an estimated fee before the mediation, and payment of the mediator's fee must be divided equally between the beneficiary and the borrower. The beneficiary and the borrower must tender the loan mediator's fee within thirty calendar days from receipt of the department's letter referring the parties to mediation or pursuant to the mediator's instructions.</w:t>
      </w:r>
    </w:p>
    <w:p>
      <w:pPr>
        <w:spacing w:before="0" w:after="0" w:line="408" w:lineRule="exact"/>
        <w:ind w:left="0" w:right="0" w:firstLine="576"/>
        <w:jc w:val="left"/>
      </w:pPr>
      <w:r>
        <w:rPr/>
        <w:t xml:space="preserve">(18) Beginning December 1, 2012, and every year thereafter, the department shall report annually to the legislature on:</w:t>
      </w:r>
    </w:p>
    <w:p>
      <w:pPr>
        <w:spacing w:before="0" w:after="0" w:line="408" w:lineRule="exact"/>
        <w:ind w:left="0" w:right="0" w:firstLine="576"/>
        <w:jc w:val="left"/>
      </w:pPr>
      <w:r>
        <w:rPr/>
        <w:t xml:space="preserve">(a) The performance of the program, including the numbers of borrowers who are referred to mediation by a housing counselor or attorney;</w:t>
      </w:r>
    </w:p>
    <w:p>
      <w:pPr>
        <w:spacing w:before="0" w:after="0" w:line="408" w:lineRule="exact"/>
        <w:ind w:left="0" w:right="0" w:firstLine="576"/>
        <w:jc w:val="left"/>
      </w:pPr>
      <w:r>
        <w:rPr/>
        <w:t xml:space="preserve">(b) The results of the mediation program, including the number of mediations requested by housing counselors and attorneys, the number of certifications of good faith issued, the number of borrowers and beneficiaries who failed to mediate in good faith, and the reasons for the failure to mediate in good faith, if known, the numbers of loans restructured or modified, the change in the borrower's monthly payment for principal and interest and the number of principal write-downs and interest rate reductions, and, to the extent practical, the number of borrowers who report a default within a year of restructuring or modification;</w:t>
      </w:r>
    </w:p>
    <w:p>
      <w:pPr>
        <w:spacing w:before="0" w:after="0" w:line="408" w:lineRule="exact"/>
        <w:ind w:left="0" w:right="0" w:firstLine="576"/>
        <w:jc w:val="left"/>
      </w:pPr>
      <w:r>
        <w:rPr/>
        <w:t xml:space="preserve">(c) The information received by housing counselors regarding outcomes of foreclosures; and</w:t>
      </w:r>
    </w:p>
    <w:p>
      <w:pPr>
        <w:spacing w:before="0" w:after="0" w:line="408" w:lineRule="exact"/>
        <w:ind w:left="0" w:right="0" w:firstLine="576"/>
        <w:jc w:val="left"/>
      </w:pPr>
      <w:r>
        <w:rPr/>
        <w:t xml:space="preserve">(d) Any recommendations for changes to the statutes regarding the mediation program."</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changes to the method and amount of beneficiary remittances, providing for continued remittance to the department of commerce for deposit into the foreclosure fairness account (rather than directing that remittances first be made to the county auditor as provided in ESHB 2057), and raising the fee amount from $250 to $325 per notice of trustee's sale (NOTS) for noncommercial loans on residential real property (rather than raising the fee amount from $250 to $300 as provided in ESHB 2057). Authorizes the department of commerce, via rule making, to adjust the fee; however, the fee may not exceed $325. Continues to require that a NOTS include a cover sheet on which the name of the beneficiary is indicated, and continues to require the county auditor to index the NOTS by beneficiary name. Removes references to the expired federal home affordable modification program (HAMP). Strikes the other provisions of ESHB 2057 relating to abandoned properties, certificates of abandonment, and duties regarding ongoing maintenance.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19b2f617794fda" /></Relationships>
</file>