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a4271fdf944a8" /></Relationships>
</file>

<file path=word/document.xml><?xml version="1.0" encoding="utf-8"?>
<w:document xmlns:w="http://schemas.openxmlformats.org/wordprocessingml/2006/main">
  <w:body>
    <w:p>
      <w:r>
        <w:rPr>
          <w:b/>
        </w:rPr>
        <w:r>
          <w:rPr/>
          <w:t xml:space="preserve">2201</w:t>
        </w:r>
      </w:r>
      <w:r>
        <w:rPr>
          <w:b/>
        </w:rPr>
        <w:t xml:space="preserve"> </w:t>
        <w:t xml:space="preserve">AMH</w:t>
      </w:r>
      <w:r>
        <w:rPr>
          <w:b/>
        </w:rPr>
        <w:t xml:space="preserve"> </w:t>
        <w:r>
          <w:rPr/>
          <w:t xml:space="preserve">HARM</w:t>
        </w:r>
      </w:r>
      <w:r>
        <w:rPr>
          <w:b/>
        </w:rPr>
        <w:t xml:space="preserve"> </w:t>
        <w:r>
          <w:rPr/>
          <w:t xml:space="preserve">H2684.2</w:t>
        </w:r>
      </w:r>
      <w:r>
        <w:rPr>
          <w:b/>
        </w:rPr>
        <w:t xml:space="preserve"> - NOT FOR FLOOR USE</w:t>
      </w:r>
    </w:p>
    <w:p>
      <w:pPr>
        <w:ind w:left="0" w:right="0" w:firstLine="576"/>
      </w:pPr>
    </w:p>
    <w:p>
      <w:pPr>
        <w:spacing w:before="480" w:after="0" w:line="408" w:lineRule="exact"/>
      </w:pPr>
      <w:r>
        <w:rPr>
          <w:b/>
          <w:u w:val="single"/>
        </w:rPr>
        <w:t xml:space="preserve">HB 2201</w:t>
      </w:r>
      <w:r>
        <w:t xml:space="preserve"> -</w:t>
      </w:r>
      <w:r>
        <w:t xml:space="preserve"> </w:t>
        <w:t xml:space="preserve">H AMD</w:t>
      </w:r>
      <w:r>
        <w:t xml:space="preserve"> </w:t>
      </w:r>
      <w:r>
        <w:rPr>
          <w:b/>
        </w:rPr>
        <w:t xml:space="preserve">542</w:t>
      </w:r>
    </w:p>
    <w:p>
      <w:pPr>
        <w:spacing w:before="0" w:after="0" w:line="408" w:lineRule="exact"/>
        <w:ind w:left="0" w:right="0" w:firstLine="576"/>
        <w:jc w:val="left"/>
      </w:pPr>
      <w:r>
        <w:rPr/>
        <w:t xml:space="preserve">By Representative Harmsworth</w:t>
      </w:r>
    </w:p>
    <w:p>
      <w:pPr>
        <w:jc w:val="right"/>
      </w:pPr>
      <w:r>
        <w:rPr>
          <w:b/>
        </w:rPr>
        <w:t xml:space="preserve">SCOPE AND OBJECT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two times the difference between the tax due calculated using the vehicle valuation schedule in chapter 82.44 RCW as it existed on January 1, 1996, and the tax otherwise due calculated using the vehicle valuation schedule in RCW 82.44.035, if the resulting difference is positive. The net result of the amount of tax owed under current law and the amount of any credit applied must not exceed five-tenths of one percent of the value of the vehicle.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program must be retroactive to the date that the authority first imposed the tax under RCW 81.104.160(1).</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light rail projects; second, from transit bus-related projects; third, from commuter rail projects; and fourth, from parking facility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 be</w:t>
      </w:r>
      <w:r>
        <w:t>))</w:t>
      </w:r>
      <w:r>
        <w:rPr/>
        <w:t xml:space="preserve"> </w:t>
      </w:r>
      <w:r>
        <w:rPr>
          <w:u w:val="single"/>
        </w:rPr>
        <w:t xml:space="preserve">is</w:t>
      </w:r>
      <w:r>
        <w:rPr/>
        <w:t xml:space="preserv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w:t>
      </w:r>
      <w:r>
        <w:t>((</w:t>
      </w:r>
      <w:r>
        <w:rPr>
          <w:strike/>
        </w:rPr>
        <w:t xml:space="preserve">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strike/>
        </w:rPr>
        <w:t xml:space="preserve">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rPr>
          <w:strike/>
        </w:rPr>
        <w:t xml:space="preserve">(a)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rPr>
          <w:strike/>
        </w:rPr>
        <w:t xml:space="preserve">(b)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trike/>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trike/>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w:t>
            </w:r>
          </w:p>
        </w:tc>
        <w:tc>
          <w:tcPr>
            <w:tcW w:w="2440" w:type="dxa"/>
            <w:vAlign w:val="top"/>
          </w:tcPr>
          <w:p>
            <w:pPr>
              <w:spacing w:before="0" w:after="0" w:line="408" w:lineRule="exact"/>
              <w:ind w:left="0" w:right="0" w:firstLine="0"/>
              <w:jc w:val="left"/>
            </w:pPr>
            <w:r>
              <w:rPr>
                <w:rFonts w:ascii="Times New Roman" w:hAnsi="Times New Roman"/>
                <w:strike/>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2</w:t>
            </w:r>
          </w:p>
        </w:tc>
        <w:tc>
          <w:tcPr>
            <w:tcW w:w="2440" w:type="dxa"/>
            <w:vAlign w:val="top"/>
          </w:tcPr>
          <w:p>
            <w:pPr>
              <w:spacing w:before="0" w:after="0" w:line="408" w:lineRule="exact"/>
              <w:ind w:left="0" w:right="0" w:firstLine="0"/>
              <w:jc w:val="left"/>
            </w:pPr>
            <w:r>
              <w:rPr>
                <w:rFonts w:ascii="Times New Roman" w:hAnsi="Times New Roman"/>
                <w:strike/>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3</w:t>
            </w:r>
          </w:p>
        </w:tc>
        <w:tc>
          <w:tcPr>
            <w:tcW w:w="2440" w:type="dxa"/>
            <w:vAlign w:val="top"/>
          </w:tcPr>
          <w:p>
            <w:pPr>
              <w:spacing w:before="0" w:after="0" w:line="408" w:lineRule="exact"/>
              <w:ind w:left="0" w:right="0" w:firstLine="0"/>
              <w:jc w:val="left"/>
            </w:pPr>
            <w:r>
              <w:rPr>
                <w:rFonts w:ascii="Times New Roman" w:hAnsi="Times New Roman"/>
                <w:strike/>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4</w:t>
            </w:r>
          </w:p>
        </w:tc>
        <w:tc>
          <w:tcPr>
            <w:tcW w:w="2440" w:type="dxa"/>
            <w:vAlign w:val="top"/>
          </w:tcPr>
          <w:p>
            <w:pPr>
              <w:spacing w:before="0" w:after="0" w:line="408" w:lineRule="exact"/>
              <w:ind w:left="0" w:right="0" w:firstLine="0"/>
              <w:jc w:val="left"/>
            </w:pPr>
            <w:r>
              <w:rPr>
                <w:rFonts w:ascii="Times New Roman" w:hAnsi="Times New Roman"/>
                <w:strike/>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5</w:t>
            </w:r>
          </w:p>
        </w:tc>
        <w:tc>
          <w:tcPr>
            <w:tcW w:w="2440" w:type="dxa"/>
            <w:vAlign w:val="top"/>
          </w:tcPr>
          <w:p>
            <w:pPr>
              <w:spacing w:before="0" w:after="0" w:line="408" w:lineRule="exact"/>
              <w:ind w:left="0" w:right="0" w:firstLine="0"/>
              <w:jc w:val="left"/>
            </w:pPr>
            <w:r>
              <w:rPr>
                <w:rFonts w:ascii="Times New Roman" w:hAnsi="Times New Roman"/>
                <w:strike/>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6</w:t>
            </w:r>
          </w:p>
        </w:tc>
        <w:tc>
          <w:tcPr>
            <w:tcW w:w="2440" w:type="dxa"/>
            <w:vAlign w:val="top"/>
          </w:tcPr>
          <w:p>
            <w:pPr>
              <w:spacing w:before="0" w:after="0" w:line="408" w:lineRule="exact"/>
              <w:ind w:left="0" w:right="0" w:firstLine="0"/>
              <w:jc w:val="left"/>
            </w:pPr>
            <w:r>
              <w:rPr>
                <w:rFonts w:ascii="Times New Roman" w:hAnsi="Times New Roman"/>
                <w:strike/>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7</w:t>
            </w:r>
          </w:p>
        </w:tc>
        <w:tc>
          <w:tcPr>
            <w:tcW w:w="2440" w:type="dxa"/>
            <w:vAlign w:val="top"/>
          </w:tcPr>
          <w:p>
            <w:pPr>
              <w:spacing w:before="0" w:after="0" w:line="408" w:lineRule="exact"/>
              <w:ind w:left="0" w:right="0" w:firstLine="0"/>
              <w:jc w:val="left"/>
            </w:pPr>
            <w:r>
              <w:rPr>
                <w:rFonts w:ascii="Times New Roman" w:hAnsi="Times New Roman"/>
                <w:strike/>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8</w:t>
            </w:r>
          </w:p>
        </w:tc>
        <w:tc>
          <w:tcPr>
            <w:tcW w:w="2440" w:type="dxa"/>
            <w:vAlign w:val="top"/>
          </w:tcPr>
          <w:p>
            <w:pPr>
              <w:spacing w:before="0" w:after="0" w:line="408" w:lineRule="exact"/>
              <w:ind w:left="0" w:right="0" w:firstLine="0"/>
              <w:jc w:val="left"/>
            </w:pPr>
            <w:r>
              <w:rPr>
                <w:rFonts w:ascii="Times New Roman" w:hAnsi="Times New Roman"/>
                <w:strike/>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9</w:t>
            </w:r>
          </w:p>
        </w:tc>
        <w:tc>
          <w:tcPr>
            <w:tcW w:w="2440" w:type="dxa"/>
            <w:vAlign w:val="top"/>
          </w:tcPr>
          <w:p>
            <w:pPr>
              <w:spacing w:before="0" w:after="0" w:line="408" w:lineRule="exact"/>
              <w:ind w:left="0" w:right="0" w:firstLine="0"/>
              <w:jc w:val="left"/>
            </w:pPr>
            <w:r>
              <w:rPr>
                <w:rFonts w:ascii="Times New Roman" w:hAnsi="Times New Roman"/>
                <w:strike/>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10</w:t>
            </w:r>
          </w:p>
        </w:tc>
        <w:tc>
          <w:tcPr>
            <w:tcW w:w="2440" w:type="dxa"/>
            <w:vAlign w:val="top"/>
          </w:tcPr>
          <w:p>
            <w:pPr>
              <w:spacing w:before="0" w:after="0" w:line="408" w:lineRule="exact"/>
              <w:ind w:left="0" w:right="0" w:firstLine="0"/>
              <w:jc w:val="left"/>
            </w:pPr>
            <w:r>
              <w:rPr>
                <w:rFonts w:ascii="Times New Roman" w:hAnsi="Times New Roman"/>
                <w:strike/>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11</w:t>
            </w:r>
          </w:p>
        </w:tc>
        <w:tc>
          <w:tcPr>
            <w:tcW w:w="2440" w:type="dxa"/>
            <w:vAlign w:val="top"/>
          </w:tcPr>
          <w:p>
            <w:pPr>
              <w:spacing w:before="0" w:after="0" w:line="408" w:lineRule="exact"/>
              <w:ind w:left="0" w:right="0" w:firstLine="0"/>
              <w:jc w:val="left"/>
            </w:pPr>
            <w:r>
              <w:rPr>
                <w:rFonts w:ascii="Times New Roman" w:hAnsi="Times New Roman"/>
                <w:strike/>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12</w:t>
            </w:r>
          </w:p>
        </w:tc>
        <w:tc>
          <w:tcPr>
            <w:tcW w:w="2440" w:type="dxa"/>
            <w:vAlign w:val="top"/>
          </w:tcPr>
          <w:p>
            <w:pPr>
              <w:spacing w:before="0" w:after="0" w:line="408" w:lineRule="exact"/>
              <w:ind w:left="0" w:right="0" w:firstLine="0"/>
              <w:jc w:val="left"/>
            </w:pPr>
            <w:r>
              <w:rPr>
                <w:rFonts w:ascii="Times New Roman" w:hAnsi="Times New Roman"/>
                <w:strike/>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13</w:t>
            </w:r>
          </w:p>
        </w:tc>
        <w:tc>
          <w:tcPr>
            <w:tcW w:w="2440" w:type="dxa"/>
            <w:vAlign w:val="top"/>
          </w:tcPr>
          <w:p>
            <w:pPr>
              <w:spacing w:before="0" w:after="0" w:line="408" w:lineRule="exact"/>
              <w:ind w:left="0" w:right="0" w:firstLine="0"/>
              <w:jc w:val="left"/>
            </w:pPr>
            <w:r>
              <w:rPr>
                <w:rFonts w:ascii="Times New Roman" w:hAnsi="Times New Roman"/>
                <w:strike/>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14</w:t>
            </w:r>
          </w:p>
        </w:tc>
        <w:tc>
          <w:tcPr>
            <w:tcW w:w="2440" w:type="dxa"/>
            <w:vAlign w:val="top"/>
          </w:tcPr>
          <w:p>
            <w:pPr>
              <w:spacing w:before="0" w:after="0" w:line="408" w:lineRule="exact"/>
              <w:ind w:left="0" w:right="0" w:firstLine="0"/>
              <w:jc w:val="left"/>
            </w:pPr>
            <w:r>
              <w:rPr>
                <w:rFonts w:ascii="Times New Roman" w:hAnsi="Times New Roman"/>
                <w:strike/>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15</w:t>
            </w:r>
          </w:p>
        </w:tc>
        <w:tc>
          <w:tcPr>
            <w:tcW w:w="2440" w:type="dxa"/>
            <w:vAlign w:val="top"/>
          </w:tcPr>
          <w:p>
            <w:pPr>
              <w:spacing w:before="0" w:after="0" w:line="408" w:lineRule="exact"/>
              <w:ind w:left="0" w:right="0" w:firstLine="0"/>
              <w:jc w:val="left"/>
            </w:pPr>
            <w:r>
              <w:rPr>
                <w:rFonts w:ascii="Times New Roman" w:hAnsi="Times New Roman"/>
                <w:strike/>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trike/>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trike/>
                <w:sz w:val="20"/>
              </w:rPr>
              <w:t xml:space="preserve">10</w:t>
            </w:r>
          </w:p>
        </w:tc>
      </w:tr>
    </w:tbl>
    <w:p>
      <w:pPr>
        <w:spacing w:before="120" w:after="0" w:line="408" w:lineRule="exact"/>
        <w:ind w:left="0" w:right="0" w:firstLine="576"/>
        <w:jc w:val="left"/>
      </w:pPr>
      <w:r>
        <w:rPr>
          <w:strike/>
        </w:rPr>
        <w:t xml:space="preserve">(4) For purposes of this chapter, value shall exclude value attributable to modifications of a vehicle and equipment that are designed to facilitate the use or operation of the vehicle by a person with a disability</w:t>
      </w:r>
      <w:r>
        <w:t>))</w:t>
      </w:r>
      <w:r>
        <w:rPr/>
        <w:t xml:space="preserve"> </w:t>
      </w:r>
      <w:r>
        <w:rPr>
          <w:u w:val="single"/>
        </w:rPr>
        <w:t xml:space="preserve">must be based on base model Kelley blue book values, or the national automobile dealers association values, whichever is lower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Doubles the amount of credit that may be applied to one's tax bill.</w:t>
      </w:r>
    </w:p>
    <w:p>
      <w:pPr>
        <w:spacing w:before="0" w:after="0" w:line="408" w:lineRule="exact"/>
        <w:ind w:left="0" w:right="0" w:firstLine="576"/>
        <w:jc w:val="left"/>
      </w:pPr>
      <w:r>
        <w:rPr/>
        <w:t xml:space="preserve">(2) Caps the maximum effective tax rate (after any credit that has been applied) to no more than 0.5 percent of the value of the vehicle.</w:t>
      </w:r>
    </w:p>
    <w:p>
      <w:pPr>
        <w:spacing w:before="0" w:after="0" w:line="408" w:lineRule="exact"/>
        <w:ind w:left="0" w:right="0" w:firstLine="576"/>
        <w:jc w:val="left"/>
      </w:pPr>
      <w:r>
        <w:rPr/>
        <w:t xml:space="preserve">(3) Reprioritizes the types of projects within which the RTA must seek savings or cost reductions, if the market value adjustment program cannot be implemented in a way that allows delivery of the 2016 RTA plan approved by the voters. Changes the cost-reduction priorities first, to light rail projects; second, to transit bus-related projects; third, to commuter rail projects; and fourth, to parking facility projects.</w:t>
      </w:r>
    </w:p>
    <w:p>
      <w:pPr>
        <w:spacing w:before="0" w:after="0" w:line="408" w:lineRule="exact"/>
        <w:ind w:left="0" w:right="0" w:firstLine="576"/>
        <w:jc w:val="left"/>
      </w:pPr>
      <w:r>
        <w:rPr/>
        <w:t xml:space="preserve">(4) Amends RCW 82.44.035 to provide that the valuation schedule for passenger vehicles and vehicles other than trucks or trailers is as shown for base models in the Kelley Blue Book or the National Automobile Dealers Association values, whichever is lower.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bb13776604812" /></Relationships>
</file>