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b7c3a42a42d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HARM</w:t>
        </w:r>
      </w:r>
      <w:r>
        <w:rPr>
          <w:b/>
        </w:rPr>
        <w:t xml:space="preserve"> </w:t>
        <w:r>
          <w:rPr/>
          <w:t xml:space="preserve">H5102.1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Harmsworth</w:t>
      </w:r>
    </w:p>
    <w:p>
      <w:pPr>
        <w:jc w:val="right"/>
      </w:pPr>
      <w:r>
        <w:rPr>
          <w:b/>
        </w:rPr>
        <w:t xml:space="preserve">WITHDRAWN 03/06/2018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25, after "digester" insert "</w:t>
      </w:r>
      <w:r>
        <w:rPr>
          <w:u w:val="single"/>
        </w:rPr>
        <w:t xml:space="preserve">or the processing of biogas from a landfill into marketable coproducts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28, after "digester" insert "</w:t>
      </w:r>
      <w:r>
        <w:rPr>
          <w:u w:val="single"/>
        </w:rPr>
        <w:t xml:space="preserve">or the processing of biogas from a landfill into marketable coproducts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a six-year property tax exemption to: All buildings, machinery, equipment, and other personal property which are used primarily for the processing of biogas from a landfill into marketable coproducts; the land upon which this property is located; and land that is reasonably necessary in the processing of biogas from a landfill into marketable coproducts.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f49901e4f48d0" /></Relationships>
</file>